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简体" w:hAnsi="方正小标宋简体" w:eastAsia="方正小标宋简体" w:cs="方正小标宋简体"/>
          <w:sz w:val="72"/>
          <w:szCs w:val="72"/>
        </w:rPr>
      </w:pPr>
    </w:p>
    <w:p>
      <w:pPr>
        <w:adjustRightInd w:val="0"/>
        <w:snapToGrid w:val="0"/>
        <w:jc w:val="center"/>
        <w:rPr>
          <w:rFonts w:hint="eastAsia" w:ascii="方正小标宋简体" w:hAnsi="方正小标宋简体" w:eastAsia="方正小标宋简体" w:cs="方正小标宋简体"/>
          <w:sz w:val="72"/>
          <w:szCs w:val="72"/>
        </w:rPr>
      </w:pPr>
    </w:p>
    <w:p>
      <w:pPr>
        <w:adjustRightInd w:val="0"/>
        <w:snapToGrid w:val="0"/>
        <w:jc w:val="center"/>
        <w:rPr>
          <w:rFonts w:hint="eastAsia" w:ascii="方正小标宋简体" w:hAnsi="方正小标宋简体" w:eastAsia="方正小标宋简体" w:cs="方正小标宋简体"/>
          <w:sz w:val="72"/>
          <w:szCs w:val="72"/>
        </w:rPr>
      </w:pPr>
    </w:p>
    <w:p>
      <w:pPr>
        <w:adjustRightInd w:val="0"/>
        <w:snapToGrid w:val="0"/>
        <w:jc w:val="center"/>
        <w:rPr>
          <w:rFonts w:hint="eastAsia"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2023年度</w:t>
      </w:r>
    </w:p>
    <w:p>
      <w:pPr>
        <w:adjustRightInd w:val="0"/>
        <w:snapToGrid w:val="0"/>
        <w:jc w:val="center"/>
        <w:outlineLvl w:val="0"/>
        <w:rPr>
          <w:rFonts w:hint="eastAsia" w:ascii="方正小标宋简体" w:hAnsi="方正小标宋简体" w:eastAsia="方正小标宋简体" w:cs="方正小标宋简体"/>
          <w:sz w:val="72"/>
          <w:szCs w:val="72"/>
        </w:rPr>
      </w:pPr>
      <w:bookmarkStart w:id="0" w:name="_Toc17972"/>
      <w:bookmarkStart w:id="1" w:name="_Toc1332"/>
      <w:bookmarkStart w:id="2" w:name="_Toc8204"/>
      <w:r>
        <w:rPr>
          <w:rFonts w:hint="eastAsia" w:ascii="方正小标宋简体" w:hAnsi="方正小标宋简体" w:eastAsia="方正小标宋简体" w:cs="方正小标宋简体"/>
          <w:sz w:val="72"/>
          <w:szCs w:val="72"/>
        </w:rPr>
        <w:t>广元市就业创业促进中心单位决算</w:t>
      </w:r>
      <w:bookmarkEnd w:id="0"/>
      <w:bookmarkEnd w:id="1"/>
      <w:bookmarkEnd w:id="2"/>
    </w:p>
    <w:p>
      <w:pPr>
        <w:adjustRightInd w:val="0"/>
        <w:snapToGrid w:val="0"/>
        <w:jc w:val="center"/>
        <w:rPr>
          <w:rFonts w:hint="eastAsia" w:ascii="方正小标宋简体" w:hAnsi="方正小标宋简体" w:eastAsia="方正小标宋简体" w:cs="方正小标宋简体"/>
          <w:sz w:val="72"/>
          <w:szCs w:val="72"/>
        </w:rPr>
      </w:pPr>
    </w:p>
    <w:p>
      <w:pPr>
        <w:widowControl/>
        <w:jc w:val="center"/>
        <w:rPr>
          <w:rFonts w:hint="eastAsia" w:ascii="黑体" w:hAnsi="黑体" w:eastAsia="黑体"/>
          <w:sz w:val="48"/>
          <w:szCs w:val="48"/>
        </w:rPr>
        <w:sectPr>
          <w:footerReference r:id="rId3" w:type="default"/>
          <w:pgSz w:w="11906" w:h="16838"/>
          <w:pgMar w:top="1440" w:right="1800" w:bottom="1440" w:left="1800" w:header="720" w:footer="720" w:gutter="0"/>
          <w:cols w:space="720" w:num="1"/>
          <w:docGrid w:type="lines" w:linePitch="312" w:charSpace="0"/>
        </w:sectPr>
      </w:pPr>
    </w:p>
    <w:p>
      <w:pPr>
        <w:widowControl/>
        <w:jc w:val="center"/>
        <w:rPr>
          <w:rFonts w:ascii="黑体" w:hAnsi="黑体" w:eastAsia="黑体"/>
          <w:sz w:val="28"/>
          <w:szCs w:val="28"/>
        </w:rPr>
      </w:pPr>
      <w:r>
        <w:rPr>
          <w:rFonts w:hint="eastAsia" w:ascii="黑体" w:hAnsi="黑体" w:eastAsia="黑体"/>
          <w:sz w:val="48"/>
          <w:szCs w:val="48"/>
        </w:rPr>
        <w:t>目录</w:t>
      </w:r>
    </w:p>
    <w:p>
      <w:pPr>
        <w:pStyle w:val="7"/>
      </w:pPr>
      <w:r>
        <w:rPr>
          <w:rFonts w:hint="eastAsia"/>
        </w:rPr>
        <w:t>公开时间：2024年10月</w:t>
      </w:r>
      <w:r>
        <w:rPr>
          <w:rFonts w:hint="eastAsia"/>
          <w:lang w:val="en-US" w:eastAsia="zh-CN"/>
        </w:rPr>
        <w:t>14</w:t>
      </w:r>
      <w:r>
        <w:rPr>
          <w:rFonts w:hint="eastAsia"/>
        </w:rPr>
        <w:t>日</w:t>
      </w:r>
    </w:p>
    <w:sdt>
      <w:sdtPr>
        <w:rPr>
          <w:rFonts w:ascii="宋体" w:hAnsi="宋体" w:eastAsia="宋体" w:cs="Times New Roman"/>
          <w:color w:val="auto"/>
          <w:kern w:val="2"/>
          <w:sz w:val="21"/>
          <w:szCs w:val="24"/>
          <w:lang w:val="en-US" w:eastAsia="zh-CN" w:bidi="ar-SA"/>
        </w:rPr>
        <w:id w:val="147463855"/>
        <w15:color w:val="DBDBDB"/>
        <w:docPartObj>
          <w:docPartGallery w:val="Table of Contents"/>
          <w:docPartUnique/>
        </w:docPartObj>
      </w:sdtPr>
      <w:sdtEndPr>
        <w:rPr>
          <w:rFonts w:ascii="Calibri" w:hAnsi="Calibri" w:eastAsia="方正仿宋简体" w:cs="Times New Roman"/>
          <w:b/>
          <w:color w:val="auto"/>
          <w:kern w:val="2"/>
          <w:sz w:val="32"/>
          <w:szCs w:val="24"/>
          <w:lang w:val="en-US" w:eastAsia="zh-CN" w:bidi="ar-SA"/>
        </w:rPr>
      </w:sdtEndPr>
      <w:sdtContent>
        <w:p>
          <w:pPr>
            <w:spacing w:before="0" w:beforeLines="0" w:after="0" w:afterLines="0" w:line="240" w:lineRule="auto"/>
            <w:ind w:left="0" w:leftChars="0" w:right="0" w:rightChars="0" w:firstLine="0" w:firstLineChars="0"/>
            <w:jc w:val="center"/>
            <w:rPr>
              <w:b/>
            </w:rPr>
          </w:pPr>
          <w:r>
            <w:rPr>
              <w:b/>
            </w:rPr>
            <w:fldChar w:fldCharType="begin"/>
          </w:r>
          <w:r>
            <w:rPr>
              <w:b/>
            </w:rPr>
            <w:instrText xml:space="preserve">TOC \o "1-2" \h \u </w:instrText>
          </w:r>
          <w:r>
            <w:rPr>
              <w:b/>
            </w:rPr>
            <w:fldChar w:fldCharType="separate"/>
          </w:r>
        </w:p>
        <w:p>
          <w:pPr>
            <w:pStyle w:val="13"/>
            <w:tabs>
              <w:tab w:val="right" w:leader="dot" w:pos="8306"/>
            </w:tabs>
            <w:rPr>
              <w:b/>
            </w:rPr>
          </w:pPr>
          <w:r>
            <w:rPr>
              <w:b/>
            </w:rPr>
            <w:fldChar w:fldCharType="begin"/>
          </w:r>
          <w:r>
            <w:rPr>
              <w:b/>
            </w:rPr>
            <w:instrText xml:space="preserve"> HYPERLINK \l _Toc10155 </w:instrText>
          </w:r>
          <w:r>
            <w:rPr>
              <w:b/>
            </w:rPr>
            <w:fldChar w:fldCharType="separate"/>
          </w:r>
          <w:r>
            <w:rPr>
              <w:rFonts w:hint="eastAsia" w:ascii="黑体" w:hAnsi="黑体" w:eastAsia="黑体"/>
              <w:b/>
            </w:rPr>
            <w:t>第一部分 单位</w:t>
          </w:r>
          <w:r>
            <w:rPr>
              <w:rFonts w:hint="eastAsia" w:ascii="黑体" w:hAnsi="黑体" w:eastAsia="黑体"/>
              <w:b/>
              <w:bCs w:val="0"/>
            </w:rPr>
            <w:t>概况</w:t>
          </w:r>
          <w:r>
            <w:rPr>
              <w:b/>
            </w:rPr>
            <w:tab/>
          </w:r>
          <w:r>
            <w:rPr>
              <w:b/>
            </w:rPr>
            <w:fldChar w:fldCharType="begin"/>
          </w:r>
          <w:r>
            <w:rPr>
              <w:b/>
            </w:rPr>
            <w:instrText xml:space="preserve"> PAGEREF _Toc10155 \h </w:instrText>
          </w:r>
          <w:r>
            <w:rPr>
              <w:b/>
            </w:rPr>
            <w:fldChar w:fldCharType="separate"/>
          </w:r>
          <w:r>
            <w:rPr>
              <w:b/>
            </w:rPr>
            <w:t>1</w:t>
          </w:r>
          <w:r>
            <w:rPr>
              <w:b/>
            </w:rPr>
            <w:fldChar w:fldCharType="end"/>
          </w:r>
          <w:r>
            <w:rPr>
              <w:b/>
            </w:rPr>
            <w:fldChar w:fldCharType="end"/>
          </w:r>
        </w:p>
        <w:p>
          <w:pPr>
            <w:pStyle w:val="14"/>
            <w:tabs>
              <w:tab w:val="right" w:leader="dot" w:pos="8306"/>
            </w:tabs>
          </w:pPr>
          <w:r>
            <w:fldChar w:fldCharType="begin"/>
          </w:r>
          <w:r>
            <w:instrText xml:space="preserve"> HYPERLINK \l _Toc11804 </w:instrText>
          </w:r>
          <w:r>
            <w:fldChar w:fldCharType="separate"/>
          </w:r>
          <w:r>
            <w:rPr>
              <w:rFonts w:hint="eastAsia" w:ascii="黑体" w:hAnsi="黑体" w:eastAsia="黑体"/>
              <w:bCs w:val="0"/>
            </w:rPr>
            <w:t>一、主要职责</w:t>
          </w:r>
          <w:r>
            <w:tab/>
          </w:r>
          <w:r>
            <w:fldChar w:fldCharType="begin"/>
          </w:r>
          <w:r>
            <w:instrText xml:space="preserve"> PAGEREF _Toc11804 \h </w:instrText>
          </w:r>
          <w:r>
            <w:fldChar w:fldCharType="separate"/>
          </w:r>
          <w:r>
            <w:t>1</w:t>
          </w:r>
          <w:r>
            <w:fldChar w:fldCharType="end"/>
          </w:r>
          <w:r>
            <w:fldChar w:fldCharType="end"/>
          </w:r>
        </w:p>
        <w:p>
          <w:pPr>
            <w:pStyle w:val="14"/>
            <w:tabs>
              <w:tab w:val="right" w:leader="dot" w:pos="8306"/>
            </w:tabs>
          </w:pPr>
          <w:r>
            <w:fldChar w:fldCharType="begin"/>
          </w:r>
          <w:r>
            <w:instrText xml:space="preserve"> HYPERLINK \l _Toc14092 </w:instrText>
          </w:r>
          <w:r>
            <w:fldChar w:fldCharType="separate"/>
          </w:r>
          <w:r>
            <w:rPr>
              <w:rFonts w:hint="eastAsia" w:ascii="黑体" w:hAnsi="黑体" w:eastAsia="黑体"/>
              <w:bCs w:val="0"/>
            </w:rPr>
            <w:t>二、机构设置</w:t>
          </w:r>
          <w:r>
            <w:tab/>
          </w:r>
          <w:r>
            <w:fldChar w:fldCharType="begin"/>
          </w:r>
          <w:r>
            <w:instrText xml:space="preserve"> PAGEREF _Toc14092 \h </w:instrText>
          </w:r>
          <w:r>
            <w:fldChar w:fldCharType="separate"/>
          </w:r>
          <w:r>
            <w:t>2</w:t>
          </w:r>
          <w:r>
            <w:fldChar w:fldCharType="end"/>
          </w:r>
          <w:r>
            <w:fldChar w:fldCharType="end"/>
          </w:r>
        </w:p>
        <w:p>
          <w:pPr>
            <w:pStyle w:val="13"/>
            <w:tabs>
              <w:tab w:val="right" w:leader="dot" w:pos="8306"/>
            </w:tabs>
            <w:rPr>
              <w:b/>
            </w:rPr>
          </w:pPr>
          <w:r>
            <w:rPr>
              <w:b/>
            </w:rPr>
            <w:fldChar w:fldCharType="begin"/>
          </w:r>
          <w:r>
            <w:rPr>
              <w:b/>
            </w:rPr>
            <w:instrText xml:space="preserve"> HYPERLINK \l _Toc10981 </w:instrText>
          </w:r>
          <w:r>
            <w:rPr>
              <w:b/>
            </w:rPr>
            <w:fldChar w:fldCharType="separate"/>
          </w:r>
          <w:r>
            <w:rPr>
              <w:rFonts w:hint="eastAsia" w:ascii="黑体" w:hAnsi="黑体" w:eastAsia="黑体"/>
              <w:b/>
            </w:rPr>
            <w:t>第二部分 2023年度</w:t>
          </w:r>
          <w:r>
            <w:rPr>
              <w:rFonts w:hint="eastAsia" w:ascii="黑体" w:hAnsi="黑体" w:eastAsia="黑体"/>
              <w:b/>
              <w:bCs/>
            </w:rPr>
            <w:t>单位决算情况说明</w:t>
          </w:r>
          <w:r>
            <w:rPr>
              <w:b/>
            </w:rPr>
            <w:tab/>
          </w:r>
          <w:r>
            <w:rPr>
              <w:b/>
            </w:rPr>
            <w:fldChar w:fldCharType="begin"/>
          </w:r>
          <w:r>
            <w:rPr>
              <w:b/>
            </w:rPr>
            <w:instrText xml:space="preserve"> PAGEREF _Toc10981 \h </w:instrText>
          </w:r>
          <w:r>
            <w:rPr>
              <w:b/>
            </w:rPr>
            <w:fldChar w:fldCharType="separate"/>
          </w:r>
          <w:r>
            <w:rPr>
              <w:b/>
            </w:rPr>
            <w:t>4</w:t>
          </w:r>
          <w:r>
            <w:rPr>
              <w:b/>
            </w:rPr>
            <w:fldChar w:fldCharType="end"/>
          </w:r>
          <w:r>
            <w:rPr>
              <w:b/>
            </w:rPr>
            <w:fldChar w:fldCharType="end"/>
          </w:r>
        </w:p>
        <w:p>
          <w:pPr>
            <w:pStyle w:val="14"/>
            <w:tabs>
              <w:tab w:val="right" w:leader="dot" w:pos="8306"/>
            </w:tabs>
          </w:pPr>
          <w:r>
            <w:fldChar w:fldCharType="begin"/>
          </w:r>
          <w:r>
            <w:instrText xml:space="preserve"> HYPERLINK \l _Toc14606 </w:instrText>
          </w:r>
          <w: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begin"/>
          </w:r>
          <w:r>
            <w:instrText xml:space="preserve"> PAGEREF _Toc14606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_Toc20585 </w:instrText>
          </w:r>
          <w:r>
            <w:fldChar w:fldCharType="separate"/>
          </w:r>
          <w:r>
            <w:rPr>
              <w:rFonts w:hint="eastAsia" w:ascii="黑体" w:hAnsi="黑体" w:eastAsia="黑体"/>
              <w:szCs w:val="32"/>
            </w:rPr>
            <w:t>二、收</w:t>
          </w:r>
          <w:r>
            <w:rPr>
              <w:rFonts w:hint="eastAsia" w:ascii="黑体" w:hAnsi="黑体" w:eastAsia="黑体"/>
            </w:rPr>
            <w:t>入决算情况说明</w:t>
          </w:r>
          <w:r>
            <w:tab/>
          </w:r>
          <w:r>
            <w:fldChar w:fldCharType="begin"/>
          </w:r>
          <w:r>
            <w:instrText xml:space="preserve"> PAGEREF _Toc20585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_Toc2052 </w:instrText>
          </w:r>
          <w:r>
            <w:fldChar w:fldCharType="separate"/>
          </w:r>
          <w:r>
            <w:rPr>
              <w:rFonts w:hint="eastAsia" w:ascii="黑体" w:hAnsi="黑体" w:eastAsia="黑体"/>
              <w:szCs w:val="32"/>
            </w:rPr>
            <w:t>三、支</w:t>
          </w:r>
          <w:r>
            <w:rPr>
              <w:rFonts w:hint="eastAsia" w:ascii="黑体" w:hAnsi="黑体" w:eastAsia="黑体"/>
            </w:rPr>
            <w:t>出决算情况说明</w:t>
          </w:r>
          <w:r>
            <w:tab/>
          </w:r>
          <w:r>
            <w:fldChar w:fldCharType="begin"/>
          </w:r>
          <w:r>
            <w:instrText xml:space="preserve"> PAGEREF _Toc2052 \h </w:instrText>
          </w:r>
          <w:r>
            <w:fldChar w:fldCharType="separate"/>
          </w:r>
          <w:r>
            <w:t>4</w:t>
          </w:r>
          <w:r>
            <w:fldChar w:fldCharType="end"/>
          </w:r>
          <w:r>
            <w:fldChar w:fldCharType="end"/>
          </w:r>
        </w:p>
        <w:p>
          <w:pPr>
            <w:pStyle w:val="14"/>
            <w:tabs>
              <w:tab w:val="right" w:leader="dot" w:pos="8306"/>
            </w:tabs>
          </w:pPr>
          <w:r>
            <w:fldChar w:fldCharType="begin"/>
          </w:r>
          <w:r>
            <w:instrText xml:space="preserve"> HYPERLINK \l _Toc24224 </w:instrText>
          </w:r>
          <w:r>
            <w:fldChar w:fldCharType="separate"/>
          </w:r>
          <w:r>
            <w:rPr>
              <w:rFonts w:hint="eastAsia" w:ascii="黑体" w:hAnsi="黑体" w:eastAsia="黑体"/>
              <w:szCs w:val="32"/>
            </w:rPr>
            <w:t>四、财</w:t>
          </w:r>
          <w:r>
            <w:rPr>
              <w:rFonts w:hint="eastAsia" w:ascii="黑体" w:hAnsi="黑体" w:eastAsia="黑体"/>
            </w:rPr>
            <w:t>政拨款收入支出决算总体情况说明</w:t>
          </w:r>
          <w:r>
            <w:tab/>
          </w:r>
          <w:r>
            <w:fldChar w:fldCharType="begin"/>
          </w:r>
          <w:r>
            <w:instrText xml:space="preserve"> PAGEREF _Toc24224 \h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_Toc16174 </w:instrText>
          </w:r>
          <w:r>
            <w:fldChar w:fldCharType="separate"/>
          </w:r>
          <w:r>
            <w:rPr>
              <w:rFonts w:hint="eastAsia" w:ascii="黑体" w:hAnsi="黑体" w:eastAsia="黑体"/>
              <w:szCs w:val="32"/>
            </w:rPr>
            <w:t>五、一</w:t>
          </w:r>
          <w:r>
            <w:rPr>
              <w:rFonts w:hint="eastAsia" w:ascii="黑体" w:hAnsi="黑体" w:eastAsia="黑体"/>
            </w:rPr>
            <w:t>般公共预算财政拨款支出决算情况说明</w:t>
          </w:r>
          <w:r>
            <w:tab/>
          </w:r>
          <w:r>
            <w:fldChar w:fldCharType="begin"/>
          </w:r>
          <w:r>
            <w:instrText xml:space="preserve"> PAGEREF _Toc16174 \h </w:instrText>
          </w:r>
          <w:r>
            <w:fldChar w:fldCharType="separate"/>
          </w:r>
          <w:r>
            <w:t>5</w:t>
          </w:r>
          <w:r>
            <w:fldChar w:fldCharType="end"/>
          </w:r>
          <w:r>
            <w:fldChar w:fldCharType="end"/>
          </w:r>
        </w:p>
        <w:p>
          <w:pPr>
            <w:pStyle w:val="14"/>
            <w:tabs>
              <w:tab w:val="right" w:leader="dot" w:pos="8306"/>
            </w:tabs>
          </w:pPr>
          <w:r>
            <w:fldChar w:fldCharType="begin"/>
          </w:r>
          <w:r>
            <w:instrText xml:space="preserve"> HYPERLINK \l _Toc6735 </w:instrText>
          </w:r>
          <w:r>
            <w:fldChar w:fldCharType="separate"/>
          </w:r>
          <w:r>
            <w:rPr>
              <w:rFonts w:hint="eastAsia" w:ascii="黑体" w:eastAsia="黑体"/>
              <w:szCs w:val="32"/>
            </w:rPr>
            <w:t>六、</w:t>
          </w:r>
          <w:r>
            <w:rPr>
              <w:rFonts w:hint="eastAsia" w:ascii="黑体" w:hAnsi="黑体" w:eastAsia="黑体"/>
              <w:szCs w:val="32"/>
            </w:rPr>
            <w:t>一</w:t>
          </w:r>
          <w:r>
            <w:rPr>
              <w:rFonts w:hint="eastAsia" w:ascii="黑体" w:hAnsi="黑体" w:eastAsia="黑体"/>
            </w:rPr>
            <w:t>般公共预算财政拨款基本支出决算情况说明</w:t>
          </w:r>
          <w:r>
            <w:tab/>
          </w:r>
          <w:r>
            <w:fldChar w:fldCharType="begin"/>
          </w:r>
          <w:r>
            <w:instrText xml:space="preserve"> PAGEREF _Toc6735 \h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_Toc21694 </w:instrText>
          </w:r>
          <w:r>
            <w:fldChar w:fldCharType="separate"/>
          </w:r>
          <w:r>
            <w:rPr>
              <w:rFonts w:hint="eastAsia" w:ascii="黑体" w:eastAsia="黑体"/>
              <w:szCs w:val="32"/>
            </w:rPr>
            <w:t>七、</w:t>
          </w:r>
          <w:r>
            <w:rPr>
              <w:rFonts w:hint="eastAsia" w:ascii="黑体" w:hAnsi="黑体" w:eastAsia="黑体"/>
            </w:rPr>
            <w:t>财政拨款“三公”经费支出决算情况说明</w:t>
          </w:r>
          <w:r>
            <w:tab/>
          </w:r>
          <w:r>
            <w:fldChar w:fldCharType="begin"/>
          </w:r>
          <w:r>
            <w:instrText xml:space="preserve"> PAGEREF _Toc21694 \h </w:instrText>
          </w:r>
          <w:r>
            <w:fldChar w:fldCharType="separate"/>
          </w:r>
          <w:r>
            <w:t>8</w:t>
          </w:r>
          <w:r>
            <w:fldChar w:fldCharType="end"/>
          </w:r>
          <w:r>
            <w:fldChar w:fldCharType="end"/>
          </w:r>
        </w:p>
        <w:p>
          <w:pPr>
            <w:pStyle w:val="14"/>
            <w:tabs>
              <w:tab w:val="right" w:leader="dot" w:pos="8306"/>
            </w:tabs>
          </w:pPr>
          <w:r>
            <w:fldChar w:fldCharType="begin"/>
          </w:r>
          <w:r>
            <w:instrText xml:space="preserve"> HYPERLINK \l _Toc15217 </w:instrText>
          </w:r>
          <w:r>
            <w:fldChar w:fldCharType="separate"/>
          </w:r>
          <w:r>
            <w:rPr>
              <w:rFonts w:hint="eastAsia" w:ascii="黑体" w:eastAsia="黑体"/>
              <w:szCs w:val="32"/>
            </w:rPr>
            <w:t>八、</w:t>
          </w:r>
          <w:r>
            <w:rPr>
              <w:rFonts w:hint="eastAsia" w:ascii="黑体" w:hAnsi="黑体" w:eastAsia="黑体"/>
            </w:rPr>
            <w:t>政府性基金预算支出决算情况说明</w:t>
          </w:r>
          <w:r>
            <w:tab/>
          </w:r>
          <w:r>
            <w:fldChar w:fldCharType="begin"/>
          </w:r>
          <w:r>
            <w:instrText xml:space="preserve"> PAGEREF _Toc15217 \h </w:instrText>
          </w:r>
          <w:r>
            <w:fldChar w:fldCharType="separate"/>
          </w:r>
          <w:r>
            <w:t>10</w:t>
          </w:r>
          <w:r>
            <w:fldChar w:fldCharType="end"/>
          </w:r>
          <w:r>
            <w:fldChar w:fldCharType="end"/>
          </w:r>
        </w:p>
        <w:p>
          <w:pPr>
            <w:pStyle w:val="14"/>
            <w:tabs>
              <w:tab w:val="right" w:leader="dot" w:pos="8306"/>
            </w:tabs>
          </w:pPr>
          <w:r>
            <w:fldChar w:fldCharType="begin"/>
          </w:r>
          <w:r>
            <w:instrText xml:space="preserve"> HYPERLINK \l _Toc6404 </w:instrText>
          </w:r>
          <w:r>
            <w:fldChar w:fldCharType="separate"/>
          </w:r>
          <w:r>
            <w:rPr>
              <w:rFonts w:hint="eastAsia" w:ascii="黑体" w:hAnsi="黑体" w:eastAsia="黑体"/>
            </w:rPr>
            <w:t>九、国有资本经营预算支出决算情况说明</w:t>
          </w:r>
          <w:r>
            <w:tab/>
          </w:r>
          <w:r>
            <w:fldChar w:fldCharType="begin"/>
          </w:r>
          <w:r>
            <w:instrText xml:space="preserve"> PAGEREF _Toc6404 \h </w:instrText>
          </w:r>
          <w:r>
            <w:fldChar w:fldCharType="separate"/>
          </w:r>
          <w:r>
            <w:t>10</w:t>
          </w:r>
          <w:r>
            <w:fldChar w:fldCharType="end"/>
          </w:r>
          <w:r>
            <w:fldChar w:fldCharType="end"/>
          </w:r>
        </w:p>
        <w:p>
          <w:pPr>
            <w:pStyle w:val="14"/>
            <w:tabs>
              <w:tab w:val="right" w:leader="dot" w:pos="8306"/>
            </w:tabs>
          </w:pPr>
          <w:r>
            <w:fldChar w:fldCharType="begin"/>
          </w:r>
          <w:r>
            <w:instrText xml:space="preserve"> HYPERLINK \l _Toc4150 </w:instrText>
          </w:r>
          <w:r>
            <w:fldChar w:fldCharType="separate"/>
          </w:r>
          <w:r>
            <w:rPr>
              <w:rFonts w:hint="eastAsia" w:ascii="黑体" w:hAnsi="黑体" w:eastAsia="黑体"/>
            </w:rPr>
            <w:t>十、其他重要事项的情况说明</w:t>
          </w:r>
          <w:r>
            <w:tab/>
          </w:r>
          <w:r>
            <w:fldChar w:fldCharType="begin"/>
          </w:r>
          <w:r>
            <w:instrText xml:space="preserve"> PAGEREF _Toc4150 \h </w:instrText>
          </w:r>
          <w:r>
            <w:fldChar w:fldCharType="separate"/>
          </w:r>
          <w:r>
            <w:t>10</w:t>
          </w:r>
          <w:r>
            <w:fldChar w:fldCharType="end"/>
          </w:r>
          <w:r>
            <w:fldChar w:fldCharType="end"/>
          </w:r>
        </w:p>
        <w:p>
          <w:pPr>
            <w:pStyle w:val="13"/>
            <w:tabs>
              <w:tab w:val="right" w:leader="dot" w:pos="8306"/>
            </w:tabs>
            <w:rPr>
              <w:b/>
            </w:rPr>
          </w:pPr>
          <w:r>
            <w:rPr>
              <w:b/>
            </w:rPr>
            <w:fldChar w:fldCharType="begin"/>
          </w:r>
          <w:r>
            <w:rPr>
              <w:b/>
            </w:rPr>
            <w:instrText xml:space="preserve"> HYPERLINK \l _Toc27665 </w:instrText>
          </w:r>
          <w:r>
            <w:rPr>
              <w:b/>
            </w:rPr>
            <w:fldChar w:fldCharType="separate"/>
          </w:r>
          <w:r>
            <w:rPr>
              <w:rFonts w:hint="eastAsia" w:ascii="黑体" w:hAnsi="黑体" w:eastAsia="黑体"/>
              <w:b/>
              <w:szCs w:val="44"/>
            </w:rPr>
            <w:t>第三部分  名</w:t>
          </w:r>
          <w:r>
            <w:rPr>
              <w:rFonts w:hint="eastAsia" w:ascii="黑体" w:hAnsi="黑体" w:eastAsia="黑体"/>
              <w:b/>
            </w:rPr>
            <w:t>词解释</w:t>
          </w:r>
          <w:r>
            <w:rPr>
              <w:b/>
            </w:rPr>
            <w:tab/>
          </w:r>
          <w:r>
            <w:rPr>
              <w:b/>
            </w:rPr>
            <w:fldChar w:fldCharType="begin"/>
          </w:r>
          <w:r>
            <w:rPr>
              <w:b/>
            </w:rPr>
            <w:instrText xml:space="preserve"> PAGEREF _Toc27665 \h </w:instrText>
          </w:r>
          <w:r>
            <w:rPr>
              <w:b/>
            </w:rPr>
            <w:fldChar w:fldCharType="separate"/>
          </w:r>
          <w:r>
            <w:rPr>
              <w:b/>
            </w:rPr>
            <w:t>12</w:t>
          </w:r>
          <w:r>
            <w:rPr>
              <w:b/>
            </w:rPr>
            <w:fldChar w:fldCharType="end"/>
          </w:r>
          <w:r>
            <w:rPr>
              <w:b/>
            </w:rPr>
            <w:fldChar w:fldCharType="end"/>
          </w:r>
        </w:p>
        <w:p>
          <w:pPr>
            <w:pStyle w:val="13"/>
            <w:tabs>
              <w:tab w:val="right" w:leader="dot" w:pos="8306"/>
            </w:tabs>
            <w:rPr>
              <w:b/>
            </w:rPr>
          </w:pPr>
          <w:r>
            <w:rPr>
              <w:b/>
            </w:rPr>
            <w:fldChar w:fldCharType="begin"/>
          </w:r>
          <w:r>
            <w:rPr>
              <w:b/>
            </w:rPr>
            <w:instrText xml:space="preserve"> HYPERLINK \l _Toc17741 </w:instrText>
          </w:r>
          <w:r>
            <w:rPr>
              <w:b/>
            </w:rPr>
            <w:fldChar w:fldCharType="separate"/>
          </w:r>
          <w:r>
            <w:rPr>
              <w:rFonts w:hint="eastAsia" w:ascii="黑体" w:hAnsi="黑体" w:eastAsia="黑体"/>
              <w:b/>
              <w:szCs w:val="44"/>
            </w:rPr>
            <w:t>第</w:t>
          </w:r>
          <w:r>
            <w:rPr>
              <w:rFonts w:hint="eastAsia" w:ascii="黑体" w:hAnsi="黑体" w:eastAsia="黑体"/>
              <w:b/>
            </w:rPr>
            <w:t>四部分 附件</w:t>
          </w:r>
          <w:r>
            <w:rPr>
              <w:b/>
            </w:rPr>
            <w:tab/>
          </w:r>
          <w:r>
            <w:rPr>
              <w:b/>
            </w:rPr>
            <w:fldChar w:fldCharType="begin"/>
          </w:r>
          <w:r>
            <w:rPr>
              <w:b/>
            </w:rPr>
            <w:instrText xml:space="preserve"> PAGEREF _Toc17741 \h </w:instrText>
          </w:r>
          <w:r>
            <w:rPr>
              <w:b/>
            </w:rPr>
            <w:fldChar w:fldCharType="separate"/>
          </w:r>
          <w:r>
            <w:rPr>
              <w:b/>
            </w:rPr>
            <w:t>15</w:t>
          </w:r>
          <w:r>
            <w:rPr>
              <w:b/>
            </w:rPr>
            <w:fldChar w:fldCharType="end"/>
          </w:r>
          <w:r>
            <w:rPr>
              <w:b/>
            </w:rPr>
            <w:fldChar w:fldCharType="end"/>
          </w:r>
        </w:p>
        <w:p>
          <w:pPr>
            <w:pStyle w:val="13"/>
            <w:tabs>
              <w:tab w:val="right" w:leader="dot" w:pos="8306"/>
            </w:tabs>
            <w:rPr>
              <w:b/>
            </w:rPr>
          </w:pPr>
          <w:r>
            <w:rPr>
              <w:b/>
            </w:rPr>
            <w:fldChar w:fldCharType="begin"/>
          </w:r>
          <w:r>
            <w:rPr>
              <w:b/>
            </w:rPr>
            <w:instrText xml:space="preserve"> HYPERLINK \l _Toc16435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_Toc16435 \h </w:instrText>
          </w:r>
          <w:r>
            <w:rPr>
              <w:b/>
            </w:rPr>
            <w:fldChar w:fldCharType="separate"/>
          </w:r>
          <w:r>
            <w:rPr>
              <w:b/>
            </w:rPr>
            <w:t>30</w:t>
          </w:r>
          <w:r>
            <w:rPr>
              <w:b/>
            </w:rPr>
            <w:fldChar w:fldCharType="end"/>
          </w:r>
          <w:r>
            <w:rPr>
              <w:b/>
            </w:rPr>
            <w:fldChar w:fldCharType="end"/>
          </w:r>
        </w:p>
        <w:p>
          <w:pPr>
            <w:pStyle w:val="14"/>
            <w:tabs>
              <w:tab w:val="right" w:leader="dot" w:pos="8306"/>
            </w:tabs>
          </w:pPr>
          <w:r>
            <w:fldChar w:fldCharType="begin"/>
          </w:r>
          <w:r>
            <w:instrText xml:space="preserve"> HYPERLINK \l _Toc17616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_Toc17616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_Toc9857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_Toc9857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_Toc1155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_Toc1155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_Toc11308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_Toc11308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_Toc20310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_Toc20310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_Toc14806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_Toc14806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_Toc22283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_Toc22283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_Toc7997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_Toc7997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_Toc1378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_Toc1378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_Toc31795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_Toc31795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_Toc11184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_Toc11184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_Toc29275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_Toc29275 \h </w:instrText>
          </w:r>
          <w:r>
            <w:fldChar w:fldCharType="separate"/>
          </w:r>
          <w:r>
            <w:t>30</w:t>
          </w:r>
          <w:r>
            <w:fldChar w:fldCharType="end"/>
          </w:r>
          <w:r>
            <w:fldChar w:fldCharType="end"/>
          </w:r>
        </w:p>
        <w:p>
          <w:pPr>
            <w:pStyle w:val="14"/>
            <w:tabs>
              <w:tab w:val="right" w:leader="dot" w:pos="8306"/>
            </w:tabs>
          </w:pPr>
          <w:r>
            <w:fldChar w:fldCharType="begin"/>
          </w:r>
          <w:r>
            <w:instrText xml:space="preserve"> HYPERLINK \l _Toc11302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_Toc11302 \h </w:instrText>
          </w:r>
          <w:r>
            <w:fldChar w:fldCharType="separate"/>
          </w:r>
          <w:r>
            <w:t>30</w:t>
          </w:r>
          <w:r>
            <w:fldChar w:fldCharType="end"/>
          </w:r>
          <w:r>
            <w:fldChar w:fldCharType="end"/>
          </w:r>
        </w:p>
        <w:p>
          <w:pPr>
            <w:pStyle w:val="15"/>
            <w:ind w:firstLine="0" w:firstLineChars="0"/>
            <w:rPr>
              <w:rFonts w:ascii="Calibri" w:hAnsi="Calibri" w:eastAsia="方正仿宋简体" w:cs="Times New Roman"/>
              <w:b/>
              <w:color w:val="auto"/>
              <w:kern w:val="2"/>
              <w:sz w:val="32"/>
              <w:szCs w:val="24"/>
              <w:lang w:val="en-US" w:eastAsia="zh-CN" w:bidi="ar-SA"/>
            </w:rPr>
          </w:pPr>
          <w:r>
            <w:rPr>
              <w:b/>
            </w:rPr>
            <w:fldChar w:fldCharType="end"/>
          </w:r>
        </w:p>
      </w:sdtContent>
    </w:sdt>
    <w:p>
      <w:pPr>
        <w:pStyle w:val="15"/>
        <w:ind w:firstLine="0" w:firstLineChars="0"/>
        <w:rPr>
          <w:rFonts w:ascii="Calibri" w:hAnsi="Calibri" w:eastAsia="方正仿宋简体" w:cs="Times New Roman"/>
          <w:b/>
          <w:color w:val="auto"/>
          <w:kern w:val="2"/>
          <w:sz w:val="32"/>
          <w:szCs w:val="24"/>
          <w:lang w:val="en-US" w:eastAsia="zh-CN" w:bidi="ar-SA"/>
        </w:rPr>
      </w:pPr>
    </w:p>
    <w:p>
      <w:pPr>
        <w:pStyle w:val="3"/>
        <w:jc w:val="center"/>
        <w:rPr>
          <w:rFonts w:hint="eastAsia" w:ascii="黑体" w:hAnsi="黑体" w:eastAsia="黑体"/>
          <w:b w:val="0"/>
        </w:rPr>
        <w:sectPr>
          <w:pgSz w:w="11906" w:h="16838"/>
          <w:pgMar w:top="1440" w:right="1800" w:bottom="1440" w:left="1800" w:header="851" w:footer="992" w:gutter="0"/>
          <w:cols w:space="425" w:num="1"/>
          <w:docGrid w:type="lines" w:linePitch="312" w:charSpace="0"/>
        </w:sectPr>
      </w:pPr>
      <w:bookmarkStart w:id="3" w:name="_Toc10155"/>
      <w:bookmarkStart w:id="4" w:name="_Toc17387"/>
      <w:bookmarkStart w:id="5" w:name="_Toc683"/>
      <w:bookmarkStart w:id="6" w:name="_Toc15072"/>
    </w:p>
    <w:p>
      <w:pPr>
        <w:pStyle w:val="3"/>
        <w:jc w:val="center"/>
        <w:rPr>
          <w:rFonts w:ascii="黑体" w:eastAsia="黑体"/>
          <w:sz w:val="32"/>
          <w:szCs w:val="32"/>
        </w:rPr>
      </w:pPr>
      <w:r>
        <w:rPr>
          <w:rFonts w:hint="eastAsia" w:ascii="黑体" w:hAnsi="黑体" w:eastAsia="黑体"/>
          <w:b w:val="0"/>
        </w:rPr>
        <w:t>第一部分 单位</w:t>
      </w:r>
      <w:r>
        <w:rPr>
          <w:rStyle w:val="11"/>
          <w:rFonts w:hint="eastAsia" w:ascii="黑体" w:hAnsi="黑体" w:eastAsia="黑体"/>
          <w:b w:val="0"/>
          <w:bCs w:val="0"/>
        </w:rPr>
        <w:t>概况</w:t>
      </w:r>
      <w:bookmarkEnd w:id="3"/>
      <w:bookmarkEnd w:id="4"/>
      <w:bookmarkEnd w:id="5"/>
      <w:bookmarkEnd w:id="6"/>
    </w:p>
    <w:p>
      <w:pPr>
        <w:pStyle w:val="2"/>
        <w:adjustRightInd w:val="0"/>
        <w:snapToGrid w:val="0"/>
        <w:spacing w:after="0" w:line="576" w:lineRule="exact"/>
        <w:outlineLvl w:val="1"/>
        <w:rPr>
          <w:rStyle w:val="12"/>
          <w:rFonts w:hint="eastAsia" w:ascii="黑体" w:hAnsi="黑体" w:eastAsia="黑体"/>
          <w:b w:val="0"/>
          <w:bCs w:val="0"/>
        </w:rPr>
      </w:pPr>
      <w:bookmarkStart w:id="7" w:name="_Toc26973"/>
      <w:bookmarkStart w:id="8" w:name="OLE_LINK1"/>
      <w:r>
        <w:rPr>
          <w:rStyle w:val="12"/>
          <w:rFonts w:hint="eastAsia" w:ascii="黑体" w:hAnsi="黑体" w:eastAsia="黑体"/>
          <w:b w:val="0"/>
          <w:bCs w:val="0"/>
        </w:rPr>
        <w:t xml:space="preserve">    </w:t>
      </w:r>
      <w:bookmarkStart w:id="9" w:name="_Toc721"/>
      <w:bookmarkStart w:id="10" w:name="_Toc15012"/>
      <w:bookmarkStart w:id="11" w:name="_Toc11804"/>
      <w:r>
        <w:rPr>
          <w:rStyle w:val="12"/>
          <w:rFonts w:hint="eastAsia" w:ascii="黑体" w:hAnsi="黑体" w:eastAsia="黑体"/>
          <w:b w:val="0"/>
          <w:bCs w:val="0"/>
        </w:rPr>
        <w:t>一、主要职责</w:t>
      </w:r>
      <w:bookmarkEnd w:id="9"/>
      <w:bookmarkEnd w:id="10"/>
      <w:bookmarkEnd w:id="11"/>
    </w:p>
    <w:bookmarkEnd w:id="7"/>
    <w:bookmarkEnd w:id="8"/>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12" w:name="_Toc83543673"/>
      <w:bookmarkStart w:id="13" w:name="_Toc83544317"/>
      <w:bookmarkStart w:id="14" w:name="OLE_LINK2"/>
      <w:r>
        <w:rPr>
          <w:rFonts w:hint="eastAsia" w:ascii="仿宋_GB2312" w:hAnsi="Times New Roman" w:eastAsia="仿宋_GB2312"/>
          <w:kern w:val="0"/>
          <w:sz w:val="32"/>
          <w:szCs w:val="32"/>
        </w:rPr>
        <w:t>1.贯彻执行就业、创业、失业保险、人力资源市场管理相关法律、法规和政策，参与拟订全市就业创业发展规划和政策。</w:t>
      </w:r>
      <w:bookmarkEnd w:id="12"/>
      <w:bookmarkEnd w:id="13"/>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15" w:name="_Toc83544318"/>
      <w:bookmarkStart w:id="16" w:name="_Toc83543674"/>
      <w:r>
        <w:rPr>
          <w:rFonts w:hint="eastAsia" w:ascii="仿宋_GB2312" w:hAnsi="Times New Roman" w:eastAsia="仿宋_GB2312"/>
          <w:kern w:val="0"/>
          <w:sz w:val="32"/>
          <w:szCs w:val="32"/>
        </w:rPr>
        <w:t>2.负责做好就业服务、创业服务和就业援助等民生工程实施事务工作。</w:t>
      </w:r>
      <w:bookmarkEnd w:id="15"/>
      <w:bookmarkEnd w:id="16"/>
    </w:p>
    <w:p>
      <w:pPr>
        <w:adjustRightInd w:val="0"/>
        <w:snapToGrid w:val="0"/>
        <w:spacing w:line="576" w:lineRule="exact"/>
        <w:ind w:firstLine="672" w:firstLineChars="210"/>
        <w:outlineLvl w:val="2"/>
        <w:rPr>
          <w:rFonts w:ascii="仿宋_GB2312" w:hAnsi="Times New Roman" w:eastAsia="仿宋_GB2312"/>
          <w:spacing w:val="-11"/>
          <w:kern w:val="0"/>
          <w:sz w:val="32"/>
          <w:szCs w:val="32"/>
        </w:rPr>
      </w:pPr>
      <w:bookmarkStart w:id="17" w:name="_Toc83544319"/>
      <w:bookmarkStart w:id="18" w:name="_Toc83543675"/>
      <w:r>
        <w:rPr>
          <w:rFonts w:hint="eastAsia" w:ascii="仿宋_GB2312" w:hAnsi="Times New Roman" w:eastAsia="仿宋_GB2312"/>
          <w:kern w:val="0"/>
          <w:sz w:val="32"/>
          <w:szCs w:val="32"/>
        </w:rPr>
        <w:t>3.负</w:t>
      </w:r>
      <w:r>
        <w:rPr>
          <w:rFonts w:hint="eastAsia" w:ascii="仿宋_GB2312" w:hAnsi="Times New Roman" w:eastAsia="仿宋_GB2312"/>
          <w:spacing w:val="-11"/>
          <w:kern w:val="0"/>
          <w:sz w:val="32"/>
          <w:szCs w:val="32"/>
        </w:rPr>
        <w:t>责人力资源开发指导，推动人力资源充分利用与发展。</w:t>
      </w:r>
      <w:bookmarkEnd w:id="17"/>
      <w:bookmarkEnd w:id="18"/>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19" w:name="_Toc83544320"/>
      <w:bookmarkStart w:id="20" w:name="_Toc83543676"/>
      <w:r>
        <w:rPr>
          <w:rFonts w:hint="eastAsia" w:ascii="仿宋_GB2312" w:hAnsi="Times New Roman" w:eastAsia="仿宋_GB2312"/>
          <w:kern w:val="0"/>
          <w:sz w:val="32"/>
          <w:szCs w:val="32"/>
        </w:rPr>
        <w:t>4.负责全市公共就业创业服务体系标准化、规范化、智能化建设相关事务工作。</w:t>
      </w:r>
      <w:bookmarkEnd w:id="19"/>
      <w:bookmarkEnd w:id="20"/>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21" w:name="_Toc83544321"/>
      <w:bookmarkStart w:id="22" w:name="_Toc83543677"/>
      <w:r>
        <w:rPr>
          <w:rFonts w:hint="eastAsia" w:ascii="仿宋_GB2312" w:hAnsi="Times New Roman" w:eastAsia="仿宋_GB2312"/>
          <w:kern w:val="0"/>
          <w:sz w:val="32"/>
          <w:szCs w:val="32"/>
        </w:rPr>
        <w:t>5.负责指导推进全市人力资源信息数据库建设，做好就业失业、人力资源供给监测预警及形势分析事务工作。</w:t>
      </w:r>
      <w:bookmarkEnd w:id="21"/>
      <w:bookmarkEnd w:id="22"/>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23" w:name="_Toc83544322"/>
      <w:bookmarkStart w:id="24" w:name="_Toc83543678"/>
      <w:r>
        <w:rPr>
          <w:rFonts w:hint="eastAsia" w:ascii="仿宋_GB2312" w:hAnsi="Times New Roman" w:eastAsia="仿宋_GB2312"/>
          <w:kern w:val="0"/>
          <w:sz w:val="32"/>
          <w:szCs w:val="32"/>
        </w:rPr>
        <w:t>6.负责职业技能培训事务服务工作，参与统筹职业培训资源、民办职业培训机构管理，落实技能人才培养、评价、使用和激励政策，参与高技能人才培训基地建设事务工作。</w:t>
      </w:r>
      <w:bookmarkEnd w:id="23"/>
      <w:bookmarkEnd w:id="24"/>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25" w:name="_Toc83543679"/>
      <w:bookmarkStart w:id="26" w:name="_Toc83544323"/>
      <w:r>
        <w:rPr>
          <w:rFonts w:hint="eastAsia" w:ascii="仿宋_GB2312" w:hAnsi="Times New Roman" w:eastAsia="仿宋_GB2312"/>
          <w:kern w:val="0"/>
          <w:sz w:val="32"/>
          <w:szCs w:val="32"/>
        </w:rPr>
        <w:t>7.负责做好创业指导、创业活动、创业大赛等事务服务工作，承担创业项目库、专家指导团队、创业孵化园建设等事务工作。</w:t>
      </w:r>
      <w:bookmarkEnd w:id="25"/>
      <w:bookmarkEnd w:id="26"/>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27" w:name="_Toc83544324"/>
      <w:bookmarkStart w:id="28" w:name="_Toc83543680"/>
      <w:r>
        <w:rPr>
          <w:rFonts w:hint="eastAsia" w:ascii="仿宋_GB2312" w:hAnsi="Times New Roman" w:eastAsia="仿宋_GB2312"/>
          <w:kern w:val="0"/>
          <w:sz w:val="32"/>
          <w:szCs w:val="32"/>
        </w:rPr>
        <w:t>8.负责市级公益性岗位开发管理及就业困难人员认定事务工作。</w:t>
      </w:r>
      <w:bookmarkEnd w:id="27"/>
      <w:bookmarkEnd w:id="28"/>
    </w:p>
    <w:p>
      <w:pPr>
        <w:adjustRightInd w:val="0"/>
        <w:snapToGrid w:val="0"/>
        <w:spacing w:line="576" w:lineRule="exact"/>
        <w:ind w:firstLine="672" w:firstLineChars="210"/>
        <w:outlineLvl w:val="2"/>
        <w:rPr>
          <w:rFonts w:ascii="仿宋_GB2312" w:hAnsi="Times New Roman" w:eastAsia="仿宋_GB2312"/>
          <w:kern w:val="0"/>
          <w:sz w:val="32"/>
          <w:szCs w:val="32"/>
        </w:rPr>
      </w:pPr>
      <w:bookmarkStart w:id="29" w:name="_Toc83543681"/>
      <w:bookmarkStart w:id="30" w:name="_Toc83544325"/>
      <w:r>
        <w:rPr>
          <w:rFonts w:hint="eastAsia" w:ascii="仿宋_GB2312" w:hAnsi="Times New Roman" w:eastAsia="仿宋_GB2312"/>
          <w:kern w:val="0"/>
          <w:sz w:val="32"/>
          <w:szCs w:val="32"/>
        </w:rPr>
        <w:t>9.负责市本级失业保险基金支出管理、财务核算与预决算管理事务工作。</w:t>
      </w:r>
      <w:bookmarkEnd w:id="29"/>
      <w:bookmarkEnd w:id="30"/>
    </w:p>
    <w:p>
      <w:pPr>
        <w:ind w:firstLine="320" w:firstLineChars="100"/>
        <w:rPr>
          <w:rFonts w:hint="eastAsia"/>
        </w:rPr>
      </w:pPr>
      <w:bookmarkStart w:id="31" w:name="_Toc83543682"/>
      <w:bookmarkStart w:id="32" w:name="_Toc83544326"/>
      <w:r>
        <w:rPr>
          <w:rFonts w:hint="eastAsia" w:ascii="仿宋_GB2312" w:hAnsi="Times New Roman" w:eastAsia="仿宋_GB2312"/>
          <w:kern w:val="0"/>
          <w:sz w:val="32"/>
          <w:szCs w:val="32"/>
        </w:rPr>
        <w:t>10.完成市人力资源社会保障局交办的其他任务。</w:t>
      </w:r>
      <w:bookmarkEnd w:id="14"/>
      <w:bookmarkEnd w:id="31"/>
      <w:bookmarkEnd w:id="32"/>
    </w:p>
    <w:p>
      <w:pPr>
        <w:pStyle w:val="2"/>
        <w:adjustRightInd w:val="0"/>
        <w:snapToGrid w:val="0"/>
        <w:spacing w:after="0" w:line="576" w:lineRule="exact"/>
        <w:outlineLvl w:val="1"/>
        <w:rPr>
          <w:rStyle w:val="12"/>
          <w:rFonts w:hint="eastAsia" w:ascii="黑体" w:hAnsi="黑体" w:eastAsia="黑体"/>
          <w:b w:val="0"/>
          <w:bCs w:val="0"/>
        </w:rPr>
      </w:pPr>
      <w:bookmarkStart w:id="33" w:name="_Toc23074"/>
      <w:r>
        <w:rPr>
          <w:rStyle w:val="12"/>
          <w:rFonts w:hint="eastAsia" w:ascii="黑体" w:hAnsi="黑体" w:eastAsia="黑体"/>
          <w:b w:val="0"/>
          <w:bCs w:val="0"/>
        </w:rPr>
        <w:t xml:space="preserve">    </w:t>
      </w:r>
      <w:bookmarkStart w:id="34" w:name="_Toc21615"/>
      <w:bookmarkStart w:id="35" w:name="_Toc14092"/>
      <w:bookmarkStart w:id="36" w:name="_Toc15277"/>
      <w:r>
        <w:rPr>
          <w:rStyle w:val="12"/>
          <w:rFonts w:hint="eastAsia" w:ascii="黑体" w:hAnsi="黑体" w:eastAsia="黑体"/>
          <w:b w:val="0"/>
          <w:bCs w:val="0"/>
        </w:rPr>
        <w:t>二、机构设置</w:t>
      </w:r>
      <w:bookmarkEnd w:id="34"/>
      <w:bookmarkEnd w:id="35"/>
      <w:bookmarkEnd w:id="36"/>
    </w:p>
    <w:bookmarkEnd w:id="33"/>
    <w:p>
      <w:pPr>
        <w:widowControl/>
        <w:spacing w:line="576" w:lineRule="exact"/>
        <w:ind w:firstLine="640" w:firstLineChars="200"/>
        <w:jc w:val="left"/>
        <w:rPr>
          <w:rFonts w:hint="eastAsia" w:ascii="仿宋" w:hAnsi="仿宋" w:eastAsia="仿宋"/>
          <w:sz w:val="32"/>
          <w:szCs w:val="32"/>
        </w:rPr>
      </w:pPr>
      <w:bookmarkStart w:id="37" w:name="OLE_LINK3"/>
      <w:bookmarkStart w:id="38" w:name="OLE_LINK4"/>
      <w:bookmarkStart w:id="39" w:name="OLE_LINK5"/>
      <w:r>
        <w:rPr>
          <w:rFonts w:hint="eastAsia" w:ascii="仿宋" w:hAnsi="仿宋" w:eastAsia="仿宋"/>
          <w:sz w:val="32"/>
          <w:szCs w:val="32"/>
        </w:rPr>
        <w:t>我单位为</w:t>
      </w:r>
      <w:r>
        <w:rPr>
          <w:rFonts w:ascii="仿宋" w:hAnsi="仿宋" w:eastAsia="仿宋"/>
          <w:sz w:val="32"/>
          <w:szCs w:val="32"/>
        </w:rPr>
        <w:t>广元市人力资源和社会保障部门下属二级预算单位，属于行政类事业单位，</w:t>
      </w:r>
      <w:r>
        <w:rPr>
          <w:rFonts w:hint="eastAsia" w:ascii="仿宋" w:hAnsi="仿宋" w:eastAsia="仿宋"/>
          <w:sz w:val="32"/>
          <w:szCs w:val="32"/>
        </w:rPr>
        <w:t>设下列内设机构7个。</w:t>
      </w:r>
    </w:p>
    <w:p>
      <w:pPr>
        <w:widowControl/>
        <w:spacing w:line="576" w:lineRule="exact"/>
        <w:ind w:firstLine="640" w:firstLineChars="200"/>
        <w:jc w:val="left"/>
        <w:rPr>
          <w:rFonts w:hint="eastAsia" w:ascii="仿宋" w:hAnsi="仿宋" w:eastAsia="仿宋"/>
          <w:sz w:val="32"/>
          <w:szCs w:val="32"/>
        </w:rPr>
      </w:pPr>
      <w:r>
        <w:rPr>
          <w:rFonts w:hint="eastAsia" w:ascii="仿宋" w:hAnsi="仿宋" w:eastAsia="仿宋"/>
          <w:sz w:val="32"/>
          <w:szCs w:val="32"/>
        </w:rPr>
        <w:t>（一）综合科：负责文电档案、机要保密、会务组织、安全生产、信访维稳，固定资产管理、后勤保障工作；负责综合协调政务公开、综合性文稿起草和考核检查工作；负责党建、党风廉政建设、工会、干部教育培训等工作；负责新媒体就业创业政策宣传工作；负责全市失业人员档</w:t>
      </w:r>
      <w:bookmarkEnd w:id="37"/>
      <w:r>
        <w:rPr>
          <w:rFonts w:hint="eastAsia" w:ascii="仿宋" w:hAnsi="仿宋" w:eastAsia="仿宋"/>
          <w:sz w:val="32"/>
          <w:szCs w:val="32"/>
        </w:rPr>
        <w:t>案管理等公共服务工作。</w:t>
      </w:r>
    </w:p>
    <w:p>
      <w:pPr>
        <w:widowControl/>
        <w:spacing w:line="576" w:lineRule="exact"/>
        <w:ind w:firstLine="640" w:firstLineChars="200"/>
        <w:jc w:val="left"/>
        <w:rPr>
          <w:rFonts w:hint="eastAsia" w:ascii="仿宋" w:hAnsi="仿宋" w:eastAsia="仿宋"/>
          <w:sz w:val="32"/>
          <w:szCs w:val="32"/>
        </w:rPr>
      </w:pPr>
      <w:r>
        <w:rPr>
          <w:rFonts w:hint="eastAsia" w:ascii="仿宋" w:hAnsi="仿宋" w:eastAsia="仿宋"/>
          <w:sz w:val="32"/>
          <w:szCs w:val="32"/>
        </w:rPr>
        <w:t>（二）财务稽核事务科：负责失业保险基金的财务管理事务工作；参与拟订失业保险基金收支预、决算方案；做好失业保险基金的管理和使用指导、稽核、监督相关事务工作；负责单位预算的编制、执行及财务管理。</w:t>
      </w:r>
    </w:p>
    <w:p>
      <w:pPr>
        <w:widowControl/>
        <w:spacing w:line="576" w:lineRule="exact"/>
        <w:ind w:firstLine="640" w:firstLineChars="200"/>
        <w:jc w:val="left"/>
        <w:rPr>
          <w:rFonts w:hint="eastAsia" w:ascii="仿宋" w:hAnsi="仿宋" w:eastAsia="仿宋"/>
          <w:kern w:val="0"/>
          <w:sz w:val="32"/>
          <w:szCs w:val="32"/>
        </w:rPr>
      </w:pPr>
      <w:r>
        <w:rPr>
          <w:rFonts w:hint="eastAsia" w:ascii="仿宋" w:hAnsi="仿宋" w:eastAsia="仿宋"/>
          <w:sz w:val="32"/>
          <w:szCs w:val="32"/>
        </w:rPr>
        <w:t>（三）就业指导科：负责人力资源开发指导</w:t>
      </w:r>
      <w:bookmarkEnd w:id="38"/>
      <w:r>
        <w:rPr>
          <w:rFonts w:hint="eastAsia" w:ascii="仿宋" w:hAnsi="仿宋" w:eastAsia="仿宋"/>
          <w:sz w:val="32"/>
          <w:szCs w:val="32"/>
        </w:rPr>
        <w:t>，推动人力资源</w:t>
      </w:r>
      <w:r>
        <w:rPr>
          <w:rFonts w:hint="eastAsia" w:ascii="仿宋" w:hAnsi="仿宋" w:eastAsia="仿宋"/>
          <w:kern w:val="0"/>
          <w:sz w:val="32"/>
          <w:szCs w:val="32"/>
        </w:rPr>
        <w:t>充分利用与发展工作；参与就业民生工程相关工作，负责报表统计；负责公共就业创业服务体系建设保障工作，参与开展充分就业村（社区）建设；负责高校毕业生（大中专毕业生）就业指导、就业服务及青年就业见习；参与全市就业服务信息化建设；负责区域劳务协作工作，承担就业形势调查、分析工作；负责指导开展职业指导、职业介绍等公共就业服务；落实就业服务补贴政策。</w:t>
      </w:r>
    </w:p>
    <w:p>
      <w:pPr>
        <w:widowControl/>
        <w:spacing w:line="576"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四）创业服务科：参与拟定创业带动就业政策措施，落实相关创业扶持政策，配合推进公共创业服务平台建设；组织开展创业指导、创业活动、创业大赛等创业服务；参与做好高校毕业生、返乡农民工、退役军人等重点群体创业服务；参与创业孵化基地建设；做好全市创业服务信息化建设相关事务工作；承担创业服务调查、分析工作。</w:t>
      </w:r>
    </w:p>
    <w:p>
      <w:pPr>
        <w:widowControl/>
        <w:spacing w:line="576"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五）就业援助科：贯彻落实就业再就业优惠扶持政策，组织实施城镇“零就业家庭”和就业困难群体就业援助；协助开发管理市本级公益性就业岗位；落实企业吸纳困难就业人员社保补贴和岗位补贴政策；承担人力资源供求调查、分析工作。</w:t>
      </w:r>
    </w:p>
    <w:p>
      <w:pPr>
        <w:widowControl/>
        <w:spacing w:line="576" w:lineRule="exact"/>
        <w:ind w:firstLine="640" w:firstLineChars="200"/>
        <w:jc w:val="left"/>
        <w:rPr>
          <w:rFonts w:hint="eastAsia" w:ascii="仿宋" w:hAnsi="仿宋" w:eastAsia="仿宋"/>
          <w:kern w:val="0"/>
          <w:sz w:val="32"/>
          <w:szCs w:val="32"/>
        </w:rPr>
      </w:pPr>
      <w:r>
        <w:rPr>
          <w:rFonts w:hint="eastAsia" w:ascii="仿宋" w:hAnsi="仿宋" w:eastAsia="仿宋"/>
          <w:kern w:val="0"/>
          <w:sz w:val="32"/>
          <w:szCs w:val="32"/>
        </w:rPr>
        <w:t>（六）就业培训科：参与拟定全市就业创业培训政策及职业培训资源整合方案并组织实施；配合实施城乡劳动者终身职业技能培训，承担市本级人才培训和就业创业培训相关工作，参与高技能人才培训基地和技能大师工作室创建工作；参与协调督促技工院校、民办职业培训机构指导管理工作，</w:t>
      </w:r>
    </w:p>
    <w:p>
      <w:pPr>
        <w:widowControl/>
        <w:spacing w:line="576" w:lineRule="exact"/>
        <w:jc w:val="left"/>
        <w:rPr>
          <w:rFonts w:hint="eastAsia" w:ascii="仿宋" w:hAnsi="仿宋" w:eastAsia="仿宋"/>
          <w:kern w:val="0"/>
          <w:sz w:val="32"/>
          <w:szCs w:val="32"/>
        </w:rPr>
      </w:pPr>
      <w:r>
        <w:rPr>
          <w:rFonts w:hint="eastAsia" w:ascii="仿宋" w:hAnsi="仿宋" w:eastAsia="仿宋"/>
          <w:kern w:val="0"/>
          <w:sz w:val="32"/>
          <w:szCs w:val="32"/>
        </w:rPr>
        <w:t>做好全市职业培训、创业培训等师资队伍建设事务工作，协助做好全市职业培训和人才培训信息发布和统计工作。</w:t>
      </w:r>
    </w:p>
    <w:p>
      <w:pPr>
        <w:widowControl/>
        <w:spacing w:line="576"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七）失业保险科：负责享受失业保险待遇人员的管理和服务工作，参与对享受失业保险待遇人员的培训工作；负责核定失业人员享受各项失业保险待遇资格、期限、标准；负责市本级技能提升补贴、稳岗返还经办工作；负责失业预警和动态监测工作。</w:t>
      </w:r>
      <w:bookmarkEnd w:id="39"/>
    </w:p>
    <w:p>
      <w:pPr>
        <w:rPr>
          <w:rFonts w:hint="eastAsia" w:ascii="黑体" w:hAnsi="黑体" w:eastAsia="黑体"/>
          <w:b w:val="0"/>
        </w:rPr>
      </w:pPr>
      <w:bookmarkStart w:id="40" w:name="_Toc5986"/>
      <w:bookmarkStart w:id="41" w:name="_Toc5686"/>
      <w:bookmarkStart w:id="42" w:name="_Toc2423"/>
      <w:bookmarkStart w:id="43" w:name="_Toc10981"/>
      <w:r>
        <w:rPr>
          <w:rFonts w:hint="eastAsia" w:ascii="黑体" w:hAnsi="黑体" w:eastAsia="黑体"/>
          <w:b w:val="0"/>
        </w:rPr>
        <w:br w:type="page"/>
      </w:r>
    </w:p>
    <w:p>
      <w:pPr>
        <w:pStyle w:val="3"/>
        <w:ind w:right="440"/>
        <w:jc w:val="center"/>
      </w:pPr>
      <w:r>
        <w:rPr>
          <w:rFonts w:hint="eastAsia" w:ascii="黑体" w:hAnsi="黑体" w:eastAsia="黑体"/>
          <w:b w:val="0"/>
        </w:rPr>
        <w:t>第二部分 2023年度</w:t>
      </w:r>
      <w:r>
        <w:rPr>
          <w:rStyle w:val="11"/>
          <w:rFonts w:hint="eastAsia" w:ascii="黑体" w:hAnsi="黑体" w:eastAsia="黑体"/>
          <w:b w:val="0"/>
          <w:bCs/>
        </w:rPr>
        <w:t>单位决算情况说明</w:t>
      </w:r>
      <w:bookmarkEnd w:id="40"/>
      <w:bookmarkEnd w:id="41"/>
      <w:bookmarkEnd w:id="42"/>
      <w:bookmarkEnd w:id="43"/>
    </w:p>
    <w:p>
      <w:pPr>
        <w:pStyle w:val="16"/>
        <w:spacing w:line="600" w:lineRule="exact"/>
        <w:ind w:left="640" w:firstLine="0" w:firstLineChars="0"/>
        <w:outlineLvl w:val="1"/>
        <w:rPr>
          <w:rStyle w:val="12"/>
          <w:rFonts w:ascii="黑体" w:hAnsi="黑体" w:eastAsia="黑体"/>
          <w:b w:val="0"/>
        </w:rPr>
      </w:pPr>
      <w:bookmarkStart w:id="44" w:name="_Toc14606"/>
      <w:bookmarkStart w:id="45" w:name="_Toc31896"/>
      <w:bookmarkStart w:id="46" w:name="_Toc14869"/>
      <w:bookmarkStart w:id="47" w:name="_Toc8"/>
      <w:r>
        <w:rPr>
          <w:rFonts w:hint="eastAsia" w:ascii="黑体" w:hAnsi="黑体" w:eastAsia="黑体"/>
          <w:sz w:val="32"/>
          <w:szCs w:val="32"/>
        </w:rPr>
        <w:t>一、收</w:t>
      </w:r>
      <w:r>
        <w:rPr>
          <w:rStyle w:val="12"/>
          <w:rFonts w:hint="eastAsia" w:ascii="黑体" w:hAnsi="黑体" w:eastAsia="黑体"/>
          <w:b w:val="0"/>
        </w:rPr>
        <w:t>入支出决算总体情况说明</w:t>
      </w:r>
      <w:bookmarkEnd w:id="44"/>
      <w:bookmarkEnd w:id="45"/>
      <w:bookmarkEnd w:id="46"/>
      <w:bookmarkEnd w:id="47"/>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2023年度收、支总计均为849.44万元。与2022年度相比，收、支总计各减</w:t>
      </w:r>
      <w:bookmarkStart w:id="48" w:name="OLE_LINK43"/>
      <w:r>
        <w:rPr>
          <w:rFonts w:hint="eastAsia" w:ascii="仿宋_GB2312" w:hAnsi="仿宋_GB2312" w:eastAsia="仿宋_GB2312" w:cs="仿宋_GB2312"/>
          <w:sz w:val="32"/>
          <w:szCs w:val="32"/>
        </w:rPr>
        <w:t>少17.29万元，下降2%。主要变动原因是</w:t>
      </w:r>
      <w:bookmarkStart w:id="49" w:name="OLE_LINK7"/>
      <w:r>
        <w:rPr>
          <w:rFonts w:hint="eastAsia" w:ascii="仿宋_GB2312" w:hAnsi="仿宋_GB2312" w:eastAsia="仿宋_GB2312" w:cs="仿宋_GB2312"/>
          <w:sz w:val="32"/>
          <w:szCs w:val="32"/>
        </w:rPr>
        <w:t>年初预算数调整、专项项目资金减少。</w:t>
      </w:r>
      <w:bookmarkEnd w:id="48"/>
      <w:bookmarkEnd w:id="49"/>
    </w:p>
    <w:p>
      <w:pPr>
        <w:pStyle w:val="15"/>
        <w:spacing w:line="240" w:lineRule="auto"/>
        <w:ind w:firstLine="0" w:firstLineChars="0"/>
        <w:jc w:val="center"/>
        <w:rPr>
          <w:rFonts w:hint="eastAsia"/>
        </w:rPr>
      </w:pPr>
      <w:r>
        <w:drawing>
          <wp:inline distT="0" distB="0" distL="114300" distR="114300">
            <wp:extent cx="4156075" cy="1994535"/>
            <wp:effectExtent l="5080" t="5080" r="10795"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1600" w:firstLineChars="500"/>
        <w:rPr>
          <w:rFonts w:hint="eastAsia" w:ascii="仿宋_GB2312" w:hAnsi="仿宋_GB2312" w:eastAsia="仿宋_GB2312" w:cs="仿宋_GB2312"/>
          <w:sz w:val="32"/>
          <w:szCs w:val="32"/>
        </w:rPr>
      </w:pPr>
      <w:bookmarkStart w:id="50" w:name="OLE_LINK45"/>
      <w:r>
        <w:rPr>
          <w:rFonts w:hint="eastAsia" w:ascii="仿宋_GB2312" w:hAnsi="仿宋_GB2312" w:eastAsia="仿宋_GB2312" w:cs="仿宋_GB2312"/>
          <w:sz w:val="32"/>
          <w:szCs w:val="32"/>
        </w:rPr>
        <w:t>（图1：收、支决算总计变动情况图）</w:t>
      </w:r>
    </w:p>
    <w:bookmarkEnd w:id="50"/>
    <w:p>
      <w:pPr>
        <w:pStyle w:val="16"/>
        <w:spacing w:line="600" w:lineRule="exact"/>
        <w:ind w:left="640" w:firstLine="0" w:firstLineChars="0"/>
        <w:outlineLvl w:val="1"/>
        <w:rPr>
          <w:rStyle w:val="12"/>
          <w:rFonts w:ascii="黑体" w:hAnsi="黑体" w:eastAsia="黑体"/>
          <w:b w:val="0"/>
        </w:rPr>
      </w:pPr>
      <w:bookmarkStart w:id="51" w:name="_Toc615"/>
      <w:bookmarkStart w:id="52" w:name="_Toc19670"/>
      <w:bookmarkStart w:id="53" w:name="_Toc29770"/>
      <w:bookmarkStart w:id="54" w:name="_Toc20585"/>
      <w:r>
        <w:rPr>
          <w:rFonts w:hint="eastAsia" w:ascii="黑体" w:hAnsi="黑体" w:eastAsia="黑体"/>
          <w:sz w:val="32"/>
          <w:szCs w:val="32"/>
        </w:rPr>
        <w:t>二、收</w:t>
      </w:r>
      <w:r>
        <w:rPr>
          <w:rStyle w:val="12"/>
          <w:rFonts w:hint="eastAsia" w:ascii="黑体" w:hAnsi="黑体" w:eastAsia="黑体"/>
          <w:b w:val="0"/>
        </w:rPr>
        <w:t>入决算情况说明</w:t>
      </w:r>
      <w:bookmarkEnd w:id="51"/>
      <w:bookmarkEnd w:id="52"/>
      <w:bookmarkEnd w:id="53"/>
      <w:bookmarkEnd w:id="54"/>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bookmarkStart w:id="55" w:name="OLE_LINK42"/>
      <w:r>
        <w:rPr>
          <w:rFonts w:hint="eastAsia" w:ascii="仿宋_GB2312" w:hAnsi="仿宋_GB2312" w:eastAsia="仿宋_GB2312" w:cs="仿宋_GB2312"/>
          <w:sz w:val="32"/>
          <w:szCs w:val="32"/>
        </w:rPr>
        <w:t>02</w:t>
      </w:r>
      <w:bookmarkStart w:id="56" w:name="OLE_LINK47"/>
      <w:r>
        <w:rPr>
          <w:rFonts w:hint="eastAsia" w:ascii="仿宋_GB2312" w:hAnsi="仿宋_GB2312" w:eastAsia="仿宋_GB2312" w:cs="仿宋_GB2312"/>
          <w:sz w:val="32"/>
          <w:szCs w:val="32"/>
        </w:rPr>
        <w:t>3年度</w:t>
      </w:r>
      <w:bookmarkStart w:id="57" w:name="OLE_LINK16"/>
      <w:r>
        <w:rPr>
          <w:rFonts w:hint="eastAsia" w:ascii="仿宋_GB2312" w:hAnsi="仿宋_GB2312" w:eastAsia="仿宋_GB2312" w:cs="仿宋_GB2312"/>
          <w:sz w:val="32"/>
          <w:szCs w:val="32"/>
        </w:rPr>
        <w:t>本年收入</w:t>
      </w:r>
      <w:bookmarkEnd w:id="57"/>
      <w:r>
        <w:rPr>
          <w:rFonts w:hint="eastAsia" w:ascii="仿宋_GB2312" w:hAnsi="仿宋_GB2312" w:eastAsia="仿宋_GB2312" w:cs="仿宋_GB2312"/>
          <w:sz w:val="32"/>
          <w:szCs w:val="32"/>
        </w:rPr>
        <w:t>合计833.19万</w:t>
      </w:r>
      <w:bookmarkEnd w:id="56"/>
      <w:r>
        <w:rPr>
          <w:rFonts w:hint="eastAsia" w:ascii="仿宋_GB2312" w:hAnsi="仿宋_GB2312" w:eastAsia="仿宋_GB2312" w:cs="仿宋_GB2312"/>
          <w:sz w:val="32"/>
          <w:szCs w:val="32"/>
        </w:rPr>
        <w:t>元，其中：一般公共预算财政拨款收入833.19万元，占100%。</w:t>
      </w:r>
    </w:p>
    <w:p>
      <w:pPr>
        <w:jc w:val="center"/>
      </w:pPr>
      <w:r>
        <w:drawing>
          <wp:inline distT="0" distB="0" distL="114300" distR="114300">
            <wp:extent cx="3065145" cy="1695450"/>
            <wp:effectExtent l="4445" t="4445" r="16510"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2240" w:firstLineChars="700"/>
        <w:rPr>
          <w:rFonts w:hint="eastAsia" w:ascii="仿宋_GB2312" w:hAnsi="仿宋_GB2312" w:eastAsia="仿宋_GB2312" w:cs="仿宋_GB2312"/>
          <w:sz w:val="32"/>
          <w:szCs w:val="32"/>
        </w:rPr>
      </w:pPr>
      <w:bookmarkStart w:id="58" w:name="OLE_LINK44"/>
      <w:r>
        <w:rPr>
          <w:rFonts w:hint="eastAsia" w:ascii="仿宋_GB2312" w:hAnsi="仿宋_GB2312" w:eastAsia="仿宋_GB2312" w:cs="仿宋_GB2312"/>
          <w:sz w:val="32"/>
          <w:szCs w:val="32"/>
        </w:rPr>
        <w:t>（图2：收入决算结构图）</w:t>
      </w:r>
    </w:p>
    <w:bookmarkEnd w:id="55"/>
    <w:bookmarkEnd w:id="58"/>
    <w:p>
      <w:pPr>
        <w:pStyle w:val="16"/>
        <w:spacing w:line="600" w:lineRule="exact"/>
        <w:ind w:left="640" w:firstLine="0" w:firstLineChars="0"/>
        <w:outlineLvl w:val="1"/>
        <w:rPr>
          <w:rStyle w:val="12"/>
          <w:rFonts w:ascii="黑体" w:hAnsi="黑体" w:eastAsia="黑体"/>
          <w:b w:val="0"/>
        </w:rPr>
      </w:pPr>
      <w:bookmarkStart w:id="59" w:name="_Toc28649"/>
      <w:bookmarkStart w:id="60" w:name="_Toc23116"/>
      <w:bookmarkStart w:id="61" w:name="_Toc2052"/>
      <w:bookmarkStart w:id="62" w:name="_Toc13652"/>
      <w:r>
        <w:rPr>
          <w:rFonts w:hint="eastAsia" w:ascii="黑体" w:hAnsi="黑体" w:eastAsia="黑体"/>
          <w:sz w:val="32"/>
          <w:szCs w:val="32"/>
        </w:rPr>
        <w:t>三、支</w:t>
      </w:r>
      <w:r>
        <w:rPr>
          <w:rStyle w:val="12"/>
          <w:rFonts w:hint="eastAsia" w:ascii="黑体" w:hAnsi="黑体" w:eastAsia="黑体"/>
          <w:b w:val="0"/>
        </w:rPr>
        <w:t>出决算情况说明</w:t>
      </w:r>
      <w:bookmarkEnd w:id="59"/>
      <w:bookmarkEnd w:id="60"/>
      <w:bookmarkEnd w:id="61"/>
      <w:bookmarkEnd w:id="62"/>
    </w:p>
    <w:p>
      <w:pPr>
        <w:ind w:firstLine="640" w:firstLineChars="200"/>
      </w:pPr>
      <w:bookmarkStart w:id="63" w:name="OLE_LINK46"/>
      <w:r>
        <w:rPr>
          <w:rFonts w:hint="eastAsia" w:ascii="仿宋_GB2312" w:hAnsi="仿宋_GB2312" w:eastAsia="仿宋_GB2312" w:cs="仿宋_GB2312"/>
          <w:sz w:val="32"/>
          <w:szCs w:val="32"/>
        </w:rPr>
        <w:t>2023年度本年支出合计849.44万元，其中</w:t>
      </w:r>
      <w:bookmarkStart w:id="64" w:name="OLE_LINK17"/>
      <w:r>
        <w:rPr>
          <w:rFonts w:hint="eastAsia" w:ascii="仿宋_GB2312" w:hAnsi="仿宋_GB2312" w:eastAsia="仿宋_GB2312" w:cs="仿宋_GB2312"/>
          <w:sz w:val="32"/>
          <w:szCs w:val="32"/>
        </w:rPr>
        <w:t>：基本支出654.14万元，占77%；项目支出195.</w:t>
      </w:r>
      <w:bookmarkStart w:id="65" w:name="OLE_LINK6"/>
      <w:r>
        <w:rPr>
          <w:rFonts w:hint="eastAsia" w:ascii="仿宋_GB2312" w:hAnsi="仿宋_GB2312" w:eastAsia="仿宋_GB2312" w:cs="仿宋_GB2312"/>
          <w:sz w:val="32"/>
          <w:szCs w:val="32"/>
        </w:rPr>
        <w:t>3</w:t>
      </w:r>
      <w:bookmarkEnd w:id="65"/>
      <w:r>
        <w:rPr>
          <w:rFonts w:hint="eastAsia" w:ascii="仿宋_GB2312" w:hAnsi="仿宋_GB2312" w:eastAsia="仿宋_GB2312" w:cs="仿宋_GB2312"/>
          <w:sz w:val="32"/>
          <w:szCs w:val="32"/>
        </w:rPr>
        <w:t>万元，占23%</w:t>
      </w:r>
      <w:bookmarkEnd w:id="64"/>
      <w:r>
        <w:rPr>
          <w:rFonts w:hint="eastAsia" w:ascii="仿宋_GB2312" w:hAnsi="仿宋_GB2312" w:eastAsia="仿宋_GB2312" w:cs="仿宋_GB2312"/>
          <w:sz w:val="32"/>
          <w:szCs w:val="32"/>
        </w:rPr>
        <w:t>。</w:t>
      </w:r>
    </w:p>
    <w:bookmarkEnd w:id="63"/>
    <w:p>
      <w:pPr>
        <w:ind w:firstLine="640"/>
        <w:jc w:val="center"/>
        <w:rPr>
          <w:rFonts w:ascii="仿宋" w:hAnsi="仿宋" w:eastAsia="仿宋"/>
          <w:sz w:val="32"/>
          <w:szCs w:val="32"/>
          <w:shd w:val="pct10" w:color="auto" w:fill="FFFFFF"/>
        </w:rPr>
      </w:pPr>
      <w:r>
        <w:drawing>
          <wp:inline distT="0" distB="0" distL="114300" distR="114300">
            <wp:extent cx="3788410" cy="2155825"/>
            <wp:effectExtent l="4445" t="4445" r="17145" b="11430"/>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2240" w:firstLineChars="700"/>
        <w:rPr>
          <w:rFonts w:ascii="仿宋_GB2312" w:eastAsia="仿宋_GB2312"/>
          <w:sz w:val="32"/>
          <w:szCs w:val="32"/>
        </w:rPr>
      </w:pPr>
      <w:r>
        <w:rPr>
          <w:rFonts w:hint="eastAsia" w:ascii="仿宋_GB2312" w:hAnsi="仿宋_GB2312" w:eastAsia="仿宋_GB2312" w:cs="仿宋_GB2312"/>
          <w:sz w:val="32"/>
          <w:szCs w:val="32"/>
        </w:rPr>
        <w:t>（图3：支出决算结构图）</w:t>
      </w:r>
    </w:p>
    <w:p>
      <w:pPr>
        <w:spacing w:line="600" w:lineRule="exact"/>
        <w:ind w:firstLine="640" w:firstLineChars="200"/>
        <w:outlineLvl w:val="1"/>
        <w:rPr>
          <w:rStyle w:val="12"/>
          <w:rFonts w:ascii="黑体" w:hAnsi="黑体" w:eastAsia="黑体"/>
          <w:b w:val="0"/>
        </w:rPr>
      </w:pPr>
      <w:bookmarkStart w:id="66" w:name="_Toc24120"/>
      <w:bookmarkStart w:id="67" w:name="_Toc24938"/>
      <w:bookmarkStart w:id="68" w:name="_Toc4867"/>
      <w:bookmarkStart w:id="69" w:name="_Toc24224"/>
      <w:r>
        <w:rPr>
          <w:rFonts w:hint="eastAsia" w:ascii="黑体" w:hAnsi="黑体" w:eastAsia="黑体"/>
          <w:sz w:val="32"/>
          <w:szCs w:val="32"/>
        </w:rPr>
        <w:t>四、财</w:t>
      </w:r>
      <w:r>
        <w:rPr>
          <w:rStyle w:val="12"/>
          <w:rFonts w:hint="eastAsia" w:ascii="黑体" w:hAnsi="黑体" w:eastAsia="黑体"/>
          <w:b w:val="0"/>
        </w:rPr>
        <w:t>政拨款收入支出决算总体情况说明</w:t>
      </w:r>
      <w:bookmarkEnd w:id="66"/>
      <w:bookmarkEnd w:id="67"/>
      <w:bookmarkEnd w:id="68"/>
      <w:bookmarkEnd w:id="69"/>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2023年度财政拨款收、支总计均为849.44万元。与2022年度相比，财政拨款收、支总计各减少17.29万元，下降2%。主要变动原因是</w:t>
      </w:r>
      <w:r>
        <w:rPr>
          <w:rFonts w:hint="eastAsia" w:ascii="仿宋" w:hAnsi="仿宋" w:eastAsia="仿宋"/>
          <w:sz w:val="32"/>
          <w:szCs w:val="32"/>
        </w:rPr>
        <w:t>年初预算数调整、</w:t>
      </w:r>
      <w:bookmarkStart w:id="70" w:name="OLE_LINK8"/>
      <w:r>
        <w:rPr>
          <w:rFonts w:hint="eastAsia" w:ascii="仿宋" w:hAnsi="仿宋" w:eastAsia="仿宋"/>
          <w:sz w:val="32"/>
          <w:szCs w:val="32"/>
        </w:rPr>
        <w:t>专项项目资金减少</w:t>
      </w:r>
      <w:bookmarkEnd w:id="70"/>
      <w:r>
        <w:rPr>
          <w:rFonts w:hint="eastAsia" w:ascii="仿宋_GB2312" w:hAnsi="仿宋_GB2312" w:eastAsia="仿宋_GB2312" w:cs="仿宋_GB2312"/>
          <w:sz w:val="32"/>
          <w:szCs w:val="32"/>
        </w:rPr>
        <w:t>。</w:t>
      </w:r>
    </w:p>
    <w:p>
      <w:pPr>
        <w:pStyle w:val="15"/>
        <w:spacing w:line="240" w:lineRule="auto"/>
        <w:ind w:firstLine="640"/>
        <w:jc w:val="center"/>
      </w:pPr>
      <w:r>
        <w:drawing>
          <wp:inline distT="0" distB="0" distL="114300" distR="114300">
            <wp:extent cx="3328035" cy="2319020"/>
            <wp:effectExtent l="4445" t="4445" r="20320" b="1968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w:t>
      </w:r>
    </w:p>
    <w:p>
      <w:pPr>
        <w:spacing w:line="600" w:lineRule="exact"/>
        <w:ind w:firstLine="640" w:firstLineChars="200"/>
        <w:outlineLvl w:val="1"/>
        <w:rPr>
          <w:rStyle w:val="12"/>
          <w:rFonts w:ascii="黑体" w:hAnsi="黑体" w:eastAsia="黑体"/>
          <w:b w:val="0"/>
        </w:rPr>
      </w:pPr>
      <w:bookmarkStart w:id="71" w:name="_Toc16174"/>
      <w:bookmarkStart w:id="72" w:name="_Toc30141"/>
      <w:bookmarkStart w:id="73" w:name="_Toc27070"/>
      <w:bookmarkStart w:id="74" w:name="_Toc6339"/>
      <w:r>
        <w:rPr>
          <w:rFonts w:hint="eastAsia" w:ascii="黑体" w:hAnsi="黑体" w:eastAsia="黑体"/>
          <w:sz w:val="32"/>
          <w:szCs w:val="32"/>
        </w:rPr>
        <w:t>五、</w:t>
      </w:r>
      <w:r>
        <w:rPr>
          <w:rFonts w:hint="eastAsia" w:ascii="黑体" w:hAnsi="黑体" w:eastAsia="黑体"/>
          <w:b/>
          <w:sz w:val="32"/>
          <w:szCs w:val="32"/>
        </w:rPr>
        <w:t>一</w:t>
      </w:r>
      <w:r>
        <w:rPr>
          <w:rStyle w:val="12"/>
          <w:rFonts w:hint="eastAsia" w:ascii="黑体" w:hAnsi="黑体" w:eastAsia="黑体"/>
          <w:b w:val="0"/>
        </w:rPr>
        <w:t>般公共预算财政拨款支出决算情况说明</w:t>
      </w:r>
      <w:bookmarkEnd w:id="71"/>
      <w:bookmarkEnd w:id="72"/>
      <w:bookmarkEnd w:id="73"/>
      <w:bookmarkEnd w:id="74"/>
    </w:p>
    <w:p>
      <w:pPr>
        <w:spacing w:line="600" w:lineRule="exact"/>
        <w:ind w:firstLine="642"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（一）一般公共预算财政拨款支出决算总体情况</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2023年度一般公共预算财政拨款支出849.44万元，占本年支出合计的100%。与2022年度相比，一般公共预算财政拨款支出减少1.04万元，下降0.1%。主要变动原因是</w:t>
      </w:r>
      <w:r>
        <w:rPr>
          <w:rFonts w:hint="eastAsia" w:ascii="仿宋" w:hAnsi="仿宋" w:eastAsia="仿宋"/>
          <w:sz w:val="32"/>
          <w:szCs w:val="32"/>
        </w:rPr>
        <w:t>专项项目资金减少。</w:t>
      </w:r>
    </w:p>
    <w:p>
      <w:pPr>
        <w:ind w:firstLine="420" w:firstLineChars="200"/>
        <w:rPr>
          <w:rFonts w:hint="eastAsia" w:ascii="仿宋_GB2312" w:hAnsi="仿宋_GB2312" w:eastAsia="仿宋_GB2312" w:cs="仿宋_GB2312"/>
          <w:sz w:val="32"/>
          <w:szCs w:val="32"/>
        </w:rPr>
      </w:pPr>
      <w:r>
        <w:drawing>
          <wp:inline distT="0" distB="0" distL="114300" distR="114300">
            <wp:extent cx="4819650" cy="2743200"/>
            <wp:effectExtent l="4445" t="4445" r="14605" b="14605"/>
            <wp:docPr id="2" name="图表 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w:t>
      </w:r>
    </w:p>
    <w:p>
      <w:pPr>
        <w:spacing w:line="600" w:lineRule="exact"/>
        <w:ind w:firstLine="642"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（二）一般公共预算财政拨款支出决算结构情况</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2023年度一般公共预算财政拨款支出849.44万元，主要用于以下方面</w:t>
      </w:r>
      <w:r>
        <w:rPr>
          <w:rFonts w:hint="eastAsia" w:ascii="仿宋_GB2312" w:hAnsi="仿宋_GB2312" w:eastAsia="仿宋_GB2312" w:cs="仿宋_GB2312"/>
          <w:sz w:val="32"/>
          <w:szCs w:val="32"/>
          <w:lang w:eastAsia="zh-CN"/>
        </w:rPr>
        <w:t>：</w:t>
      </w:r>
      <w:bookmarkStart w:id="75" w:name="OLE_LINK18"/>
      <w:r>
        <w:rPr>
          <w:rFonts w:hint="eastAsia" w:ascii="仿宋_GB2312" w:hAnsi="仿宋_GB2312" w:eastAsia="仿宋_GB2312" w:cs="仿宋_GB2312"/>
          <w:sz w:val="32"/>
          <w:szCs w:val="32"/>
        </w:rPr>
        <w:t>社会保障和就业（类）支出781.26万元，占92%；卫生健康支出18.34万元，占2.1%；农林水支出4.05万元，占0.5%；住房保障支出45.8万元，占5.4%。</w:t>
      </w:r>
      <w:bookmarkEnd w:id="75"/>
    </w:p>
    <w:p>
      <w:pPr>
        <w:ind w:firstLine="640"/>
        <w:rPr>
          <w:rFonts w:hint="eastAsia" w:ascii="仿宋_GB2312" w:hAnsi="仿宋_GB2312" w:eastAsia="仿宋_GB2312" w:cs="仿宋_GB2312"/>
          <w:sz w:val="32"/>
          <w:szCs w:val="32"/>
        </w:rPr>
      </w:pPr>
      <w:r>
        <w:drawing>
          <wp:inline distT="0" distB="0" distL="114300" distR="114300">
            <wp:extent cx="4067175" cy="2369820"/>
            <wp:effectExtent l="4445" t="4445" r="5080" b="698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960" w:firstLineChars="300"/>
        <w:rPr>
          <w:rFonts w:ascii="仿宋" w:hAnsi="仿宋" w:eastAsia="仿宋"/>
          <w:sz w:val="32"/>
          <w:szCs w:val="32"/>
        </w:rPr>
      </w:pPr>
      <w:r>
        <w:rPr>
          <w:rFonts w:hint="eastAsia" w:ascii="仿宋_GB2312" w:hAnsi="仿宋_GB2312" w:eastAsia="仿宋_GB2312" w:cs="仿宋_GB2312"/>
          <w:sz w:val="32"/>
          <w:szCs w:val="32"/>
        </w:rPr>
        <w:t>（图6：一般公共预算财政拨款支出决算结构）</w:t>
      </w:r>
    </w:p>
    <w:p>
      <w:pPr>
        <w:spacing w:line="600" w:lineRule="exact"/>
        <w:ind w:firstLine="642" w:firstLineChars="20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（三）一般公共预算财政拨款支出决算具体情况</w:t>
      </w:r>
    </w:p>
    <w:p>
      <w:pPr>
        <w:spacing w:line="600" w:lineRule="exact"/>
        <w:ind w:firstLine="642" w:firstLineChars="200"/>
        <w:rPr>
          <w:rStyle w:val="10"/>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2023年度一般公共预算支出决算数为849.44万元</w:t>
      </w:r>
      <w:r>
        <w:rPr>
          <w:rFonts w:hint="eastAsia" w:ascii="仿宋_GB2312" w:hAnsi="仿宋_GB2312" w:eastAsia="仿宋_GB2312" w:cs="仿宋_GB2312"/>
          <w:sz w:val="32"/>
          <w:szCs w:val="32"/>
        </w:rPr>
        <w:t>，</w:t>
      </w:r>
      <w:r>
        <w:rPr>
          <w:rStyle w:val="10"/>
          <w:rFonts w:hint="eastAsia" w:ascii="仿宋_GB2312" w:hAnsi="仿宋_GB2312" w:eastAsia="仿宋_GB2312" w:cs="仿宋_GB2312"/>
          <w:bCs/>
          <w:sz w:val="32"/>
          <w:szCs w:val="32"/>
        </w:rPr>
        <w:t>完成预算100%。其中：</w:t>
      </w:r>
    </w:p>
    <w:p>
      <w:pPr>
        <w:numPr>
          <w:ilvl w:val="0"/>
          <w:numId w:val="1"/>
        </w:numPr>
        <w:spacing w:line="600" w:lineRule="exact"/>
        <w:ind w:firstLine="642" w:firstLineChars="200"/>
        <w:rPr>
          <w:rStyle w:val="10"/>
          <w:rFonts w:hint="eastAsia" w:ascii="仿宋" w:hAnsi="仿宋" w:eastAsia="仿宋"/>
          <w:b w:val="0"/>
          <w:bCs/>
          <w:sz w:val="32"/>
          <w:szCs w:val="32"/>
        </w:rPr>
      </w:pPr>
      <w:bookmarkStart w:id="76" w:name="_Toc83544342"/>
      <w:bookmarkStart w:id="77" w:name="_Toc83543698"/>
      <w:r>
        <w:rPr>
          <w:rFonts w:hint="eastAsia" w:ascii="仿宋" w:hAnsi="仿宋" w:eastAsia="仿宋"/>
          <w:b/>
          <w:bCs/>
          <w:sz w:val="32"/>
          <w:szCs w:val="32"/>
        </w:rPr>
        <w:t>社会保障和就业支出（类）人力资源和社会保障管理事务（款）就业管理事务（项）：</w:t>
      </w:r>
      <w:r>
        <w:rPr>
          <w:rStyle w:val="10"/>
          <w:rFonts w:hint="eastAsia" w:ascii="仿宋" w:hAnsi="仿宋" w:eastAsia="仿宋"/>
          <w:b w:val="0"/>
          <w:bCs/>
          <w:sz w:val="32"/>
          <w:szCs w:val="32"/>
        </w:rPr>
        <w:t>支出决算为59</w:t>
      </w:r>
      <w:r>
        <w:rPr>
          <w:rStyle w:val="10"/>
          <w:rFonts w:hint="eastAsia" w:ascii="仿宋" w:hAnsi="仿宋" w:eastAsia="仿宋"/>
          <w:b w:val="0"/>
          <w:bCs/>
          <w:sz w:val="32"/>
          <w:szCs w:val="32"/>
          <w:lang w:val="en-US" w:eastAsia="zh-CN"/>
        </w:rPr>
        <w:t>3</w:t>
      </w:r>
      <w:r>
        <w:rPr>
          <w:rStyle w:val="10"/>
          <w:rFonts w:hint="eastAsia" w:ascii="仿宋" w:hAnsi="仿宋" w:eastAsia="仿宋"/>
          <w:b w:val="0"/>
          <w:bCs/>
          <w:sz w:val="32"/>
          <w:szCs w:val="32"/>
        </w:rPr>
        <w:t>.9万元，完成预算100%</w:t>
      </w:r>
      <w:bookmarkEnd w:id="76"/>
      <w:bookmarkEnd w:id="77"/>
      <w:r>
        <w:rPr>
          <w:rStyle w:val="10"/>
          <w:rFonts w:hint="eastAsia" w:ascii="仿宋" w:hAnsi="仿宋" w:eastAsia="仿宋"/>
          <w:b w:val="0"/>
          <w:bCs/>
          <w:sz w:val="32"/>
          <w:szCs w:val="32"/>
        </w:rPr>
        <w:t>。</w:t>
      </w:r>
      <w:bookmarkStart w:id="78" w:name="_Toc83543699"/>
      <w:bookmarkStart w:id="79" w:name="_Toc83544343"/>
    </w:p>
    <w:p>
      <w:pPr>
        <w:numPr>
          <w:ilvl w:val="0"/>
          <w:numId w:val="0"/>
        </w:numPr>
        <w:spacing w:line="600" w:lineRule="exact"/>
        <w:ind w:firstLine="642" w:firstLineChars="200"/>
        <w:rPr>
          <w:rFonts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社会保障和就业支出（类）人力资源和社会保障管理事务（款）</w:t>
      </w:r>
      <w:r>
        <w:rPr>
          <w:rFonts w:hint="eastAsia" w:ascii="仿宋" w:hAnsi="仿宋" w:eastAsia="仿宋"/>
          <w:b/>
          <w:bCs/>
          <w:sz w:val="32"/>
          <w:szCs w:val="32"/>
          <w:lang w:val="en-US" w:eastAsia="zh-CN"/>
        </w:rPr>
        <w:t>其他</w:t>
      </w:r>
      <w:r>
        <w:rPr>
          <w:rFonts w:hint="eastAsia" w:ascii="仿宋" w:hAnsi="仿宋" w:eastAsia="仿宋"/>
          <w:b/>
          <w:bCs/>
          <w:sz w:val="32"/>
          <w:szCs w:val="32"/>
        </w:rPr>
        <w:t>人力资源和社会保障管理事务</w:t>
      </w:r>
      <w:r>
        <w:rPr>
          <w:rFonts w:hint="eastAsia" w:ascii="仿宋" w:hAnsi="仿宋" w:eastAsia="仿宋"/>
          <w:b/>
          <w:bCs/>
          <w:sz w:val="32"/>
          <w:szCs w:val="32"/>
          <w:lang w:val="en-US" w:eastAsia="zh-CN"/>
        </w:rPr>
        <w:t>支出</w:t>
      </w:r>
      <w:r>
        <w:rPr>
          <w:rFonts w:hint="eastAsia" w:ascii="仿宋" w:hAnsi="仿宋" w:eastAsia="仿宋"/>
          <w:b/>
          <w:bCs/>
          <w:sz w:val="32"/>
          <w:szCs w:val="32"/>
        </w:rPr>
        <w:t>（项）：</w:t>
      </w:r>
      <w:r>
        <w:rPr>
          <w:rStyle w:val="10"/>
          <w:rFonts w:hint="eastAsia" w:ascii="仿宋" w:hAnsi="仿宋" w:eastAsia="仿宋"/>
          <w:b w:val="0"/>
          <w:bCs/>
          <w:sz w:val="32"/>
          <w:szCs w:val="32"/>
        </w:rPr>
        <w:t>支出决算为</w:t>
      </w:r>
      <w:r>
        <w:rPr>
          <w:rStyle w:val="10"/>
          <w:rFonts w:hint="eastAsia" w:ascii="仿宋" w:hAnsi="仿宋" w:eastAsia="仿宋"/>
          <w:b w:val="0"/>
          <w:bCs/>
          <w:sz w:val="32"/>
          <w:szCs w:val="32"/>
          <w:lang w:val="en-US" w:eastAsia="zh-CN"/>
        </w:rPr>
        <w:t>4</w:t>
      </w:r>
      <w:r>
        <w:rPr>
          <w:rStyle w:val="10"/>
          <w:rFonts w:hint="eastAsia" w:ascii="仿宋" w:hAnsi="仿宋" w:eastAsia="仿宋"/>
          <w:b w:val="0"/>
          <w:bCs/>
          <w:sz w:val="32"/>
          <w:szCs w:val="32"/>
        </w:rPr>
        <w:t>万元，完成预算100%。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firstLineChars="200"/>
        <w:textAlignment w:val="auto"/>
        <w:rPr>
          <w:rStyle w:val="10"/>
          <w:rFonts w:hint="eastAsia" w:ascii="仿宋" w:hAnsi="仿宋" w:eastAsia="仿宋"/>
          <w:b w:val="0"/>
          <w:bCs/>
          <w:sz w:val="32"/>
          <w:szCs w:val="32"/>
        </w:rPr>
      </w:pPr>
      <w:r>
        <w:rPr>
          <w:rFonts w:hint="eastAsia" w:ascii="仿宋" w:hAnsi="仿宋" w:eastAsia="仿宋"/>
          <w:b/>
          <w:bCs/>
          <w:sz w:val="32"/>
          <w:szCs w:val="32"/>
          <w:lang w:val="en-US" w:eastAsia="zh-CN"/>
        </w:rPr>
        <w:t>3</w:t>
      </w:r>
      <w:r>
        <w:rPr>
          <w:rFonts w:ascii="仿宋" w:hAnsi="仿宋" w:eastAsia="仿宋"/>
          <w:b/>
          <w:bCs/>
          <w:sz w:val="32"/>
          <w:szCs w:val="32"/>
        </w:rPr>
        <w:t>.</w:t>
      </w:r>
      <w:r>
        <w:rPr>
          <w:rFonts w:hint="eastAsia" w:ascii="仿宋" w:hAnsi="仿宋" w:eastAsia="仿宋"/>
          <w:b/>
          <w:bCs/>
          <w:sz w:val="32"/>
          <w:szCs w:val="32"/>
        </w:rPr>
        <w:t>社会保障和就业支出（类）行政事业单位养老支出（款）机关事业单位养老保险缴费支出（项）：</w:t>
      </w:r>
      <w:r>
        <w:rPr>
          <w:rStyle w:val="10"/>
          <w:rFonts w:hint="eastAsia" w:ascii="仿宋" w:hAnsi="仿宋" w:eastAsia="仿宋"/>
          <w:b w:val="0"/>
          <w:bCs/>
          <w:sz w:val="32"/>
          <w:szCs w:val="32"/>
        </w:rPr>
        <w:t>支出决算为</w:t>
      </w:r>
      <w:r>
        <w:rPr>
          <w:rStyle w:val="10"/>
          <w:rFonts w:hint="eastAsia" w:ascii="仿宋" w:hAnsi="仿宋" w:eastAsia="仿宋"/>
          <w:b w:val="0"/>
          <w:bCs/>
          <w:sz w:val="32"/>
          <w:szCs w:val="32"/>
          <w:lang w:val="en-US" w:eastAsia="zh-CN"/>
        </w:rPr>
        <w:t>57.39</w:t>
      </w:r>
      <w:r>
        <w:rPr>
          <w:rStyle w:val="10"/>
          <w:rFonts w:hint="eastAsia" w:ascii="仿宋" w:hAnsi="仿宋" w:eastAsia="仿宋"/>
          <w:b w:val="0"/>
          <w:bCs/>
          <w:sz w:val="32"/>
          <w:szCs w:val="32"/>
        </w:rPr>
        <w:t>万元，完成预算100%。</w:t>
      </w:r>
    </w:p>
    <w:p>
      <w:pPr>
        <w:pStyle w:val="2"/>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pPr>
      <w:r>
        <w:rPr>
          <w:rFonts w:hint="eastAsia" w:ascii="仿宋" w:hAnsi="仿宋" w:eastAsia="仿宋"/>
          <w:b/>
          <w:bCs/>
          <w:sz w:val="32"/>
          <w:szCs w:val="32"/>
          <w:lang w:val="en-US" w:eastAsia="zh-CN"/>
        </w:rPr>
        <w:t>4.</w:t>
      </w:r>
      <w:r>
        <w:rPr>
          <w:rFonts w:hint="eastAsia" w:ascii="仿宋" w:hAnsi="仿宋" w:eastAsia="仿宋"/>
          <w:b/>
          <w:bCs/>
          <w:sz w:val="32"/>
          <w:szCs w:val="32"/>
        </w:rPr>
        <w:t>社会保障和就业支出（类）行政事业单位养老支出（款）机关事业单位</w:t>
      </w:r>
      <w:r>
        <w:rPr>
          <w:rFonts w:hint="eastAsia" w:ascii="仿宋" w:hAnsi="仿宋" w:eastAsia="仿宋"/>
          <w:b/>
          <w:bCs/>
          <w:sz w:val="32"/>
          <w:szCs w:val="32"/>
          <w:lang w:val="en-US" w:eastAsia="zh-CN"/>
        </w:rPr>
        <w:t>职业年金</w:t>
      </w:r>
      <w:r>
        <w:rPr>
          <w:rFonts w:hint="eastAsia" w:ascii="仿宋" w:hAnsi="仿宋" w:eastAsia="仿宋"/>
          <w:b/>
          <w:bCs/>
          <w:sz w:val="32"/>
          <w:szCs w:val="32"/>
        </w:rPr>
        <w:t>缴费支出（项）：</w:t>
      </w:r>
      <w:r>
        <w:rPr>
          <w:rStyle w:val="10"/>
          <w:rFonts w:hint="eastAsia" w:ascii="仿宋" w:hAnsi="仿宋" w:eastAsia="仿宋"/>
          <w:b w:val="0"/>
          <w:bCs/>
          <w:sz w:val="32"/>
          <w:szCs w:val="32"/>
        </w:rPr>
        <w:t>支出决算为</w:t>
      </w:r>
      <w:r>
        <w:rPr>
          <w:rStyle w:val="10"/>
          <w:rFonts w:hint="eastAsia" w:ascii="仿宋" w:hAnsi="仿宋" w:eastAsia="仿宋"/>
          <w:b w:val="0"/>
          <w:bCs/>
          <w:sz w:val="32"/>
          <w:szCs w:val="32"/>
          <w:lang w:val="en-US" w:eastAsia="zh-CN"/>
        </w:rPr>
        <w:t>6.74</w:t>
      </w:r>
      <w:r>
        <w:rPr>
          <w:rStyle w:val="10"/>
          <w:rFonts w:hint="eastAsia" w:ascii="仿宋" w:hAnsi="仿宋" w:eastAsia="仿宋"/>
          <w:b w:val="0"/>
          <w:bCs/>
          <w:sz w:val="32"/>
          <w:szCs w:val="32"/>
        </w:rPr>
        <w:t>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rPr>
          <w:rStyle w:val="10"/>
          <w:rFonts w:hint="eastAsia" w:ascii="仿宋" w:hAnsi="仿宋" w:eastAsia="仿宋"/>
          <w:b w:val="0"/>
          <w:bCs/>
          <w:sz w:val="32"/>
          <w:szCs w:val="32"/>
        </w:rPr>
      </w:pPr>
      <w:r>
        <w:rPr>
          <w:rFonts w:hint="eastAsia" w:ascii="仿宋" w:hAnsi="仿宋" w:eastAsia="仿宋"/>
          <w:b/>
          <w:bCs/>
          <w:sz w:val="32"/>
          <w:szCs w:val="32"/>
          <w:lang w:val="en-US" w:eastAsia="zh-CN"/>
        </w:rPr>
        <w:t>5</w:t>
      </w:r>
      <w:r>
        <w:rPr>
          <w:rFonts w:hint="eastAsia" w:ascii="仿宋" w:hAnsi="仿宋" w:eastAsia="仿宋"/>
          <w:b/>
          <w:bCs/>
          <w:sz w:val="32"/>
          <w:szCs w:val="32"/>
        </w:rPr>
        <w:t>.社会保障和就业支出（类）就业补助（款）其他就业补助支出（项）：</w:t>
      </w:r>
      <w:r>
        <w:rPr>
          <w:rStyle w:val="10"/>
          <w:rFonts w:hint="eastAsia" w:ascii="仿宋" w:hAnsi="仿宋" w:eastAsia="仿宋"/>
          <w:b w:val="0"/>
          <w:bCs/>
          <w:sz w:val="32"/>
          <w:szCs w:val="32"/>
        </w:rPr>
        <w:t>支出决算为119.23万元，完成预算100%。</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rPr>
          <w:rStyle w:val="10"/>
          <w:rFonts w:hint="eastAsia" w:ascii="仿宋" w:hAnsi="仿宋" w:eastAsia="仿宋"/>
          <w:b w:val="0"/>
          <w:bCs/>
          <w:sz w:val="32"/>
          <w:szCs w:val="32"/>
          <w:lang w:eastAsia="zh-CN"/>
        </w:rPr>
      </w:pPr>
      <w:r>
        <w:rPr>
          <w:rFonts w:hint="eastAsia" w:ascii="仿宋" w:hAnsi="仿宋" w:eastAsia="仿宋"/>
          <w:b/>
          <w:bCs/>
          <w:sz w:val="32"/>
          <w:szCs w:val="32"/>
          <w:lang w:val="en-US" w:eastAsia="zh-CN"/>
        </w:rPr>
        <w:t>6</w:t>
      </w:r>
      <w:r>
        <w:rPr>
          <w:rFonts w:hint="eastAsia" w:ascii="仿宋" w:hAnsi="仿宋" w:eastAsia="仿宋"/>
          <w:b/>
          <w:bCs/>
          <w:sz w:val="32"/>
          <w:szCs w:val="32"/>
        </w:rPr>
        <w:t>.卫生健康支出（类）行政事业单位医疗（款）行政单位医疗（项）：</w:t>
      </w:r>
      <w:r>
        <w:rPr>
          <w:rStyle w:val="10"/>
          <w:rFonts w:hint="eastAsia" w:ascii="仿宋" w:hAnsi="仿宋" w:eastAsia="仿宋"/>
          <w:b w:val="0"/>
          <w:bCs/>
          <w:sz w:val="32"/>
          <w:szCs w:val="32"/>
        </w:rPr>
        <w:t>支出决算为18.34万元，完成预算100%</w:t>
      </w:r>
      <w:bookmarkEnd w:id="78"/>
      <w:bookmarkEnd w:id="79"/>
      <w:r>
        <w:rPr>
          <w:rStyle w:val="10"/>
          <w:rFonts w:hint="eastAsia" w:ascii="仿宋" w:hAnsi="仿宋" w:eastAsia="仿宋"/>
          <w:b w:val="0"/>
          <w:bCs/>
          <w:sz w:val="32"/>
          <w:szCs w:val="32"/>
          <w:lang w:eastAsia="zh-CN"/>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2" w:firstLineChars="200"/>
        <w:textAlignment w:val="auto"/>
        <w:rPr>
          <w:rFonts w:hint="default" w:ascii="仿宋" w:hAnsi="仿宋" w:eastAsia="仿宋" w:cs="Times New Roman"/>
          <w:b/>
          <w:bCs/>
          <w:color w:val="auto"/>
          <w:kern w:val="2"/>
          <w:sz w:val="32"/>
          <w:szCs w:val="32"/>
          <w:lang w:val="en-US" w:eastAsia="zh-CN" w:bidi="ar-SA"/>
        </w:rPr>
      </w:pPr>
      <w:r>
        <w:rPr>
          <w:rFonts w:hint="eastAsia" w:ascii="仿宋" w:hAnsi="仿宋" w:eastAsia="仿宋"/>
          <w:b/>
          <w:bCs/>
          <w:sz w:val="32"/>
          <w:szCs w:val="32"/>
          <w:lang w:val="en-US" w:eastAsia="zh-CN"/>
        </w:rPr>
        <w:t>7.</w:t>
      </w:r>
      <w:r>
        <w:rPr>
          <w:rFonts w:hint="eastAsia" w:ascii="仿宋" w:hAnsi="仿宋" w:eastAsia="仿宋"/>
          <w:b/>
          <w:bCs/>
          <w:sz w:val="32"/>
          <w:szCs w:val="32"/>
        </w:rPr>
        <w:t>农林水支出（类）</w:t>
      </w:r>
      <w:r>
        <w:rPr>
          <w:rFonts w:hint="eastAsia" w:ascii="仿宋" w:hAnsi="仿宋" w:eastAsia="仿宋"/>
          <w:b/>
          <w:bCs/>
          <w:sz w:val="32"/>
          <w:szCs w:val="32"/>
          <w:lang w:val="en-US" w:eastAsia="zh-CN"/>
        </w:rPr>
        <w:t>巩固脱贫攻坚成果衔接乡村振兴</w:t>
      </w:r>
      <w:r>
        <w:rPr>
          <w:rFonts w:hint="eastAsia" w:ascii="仿宋" w:hAnsi="仿宋" w:eastAsia="仿宋"/>
          <w:b/>
          <w:bCs/>
          <w:sz w:val="32"/>
          <w:szCs w:val="32"/>
        </w:rPr>
        <w:t>（款）</w:t>
      </w:r>
      <w:r>
        <w:rPr>
          <w:rFonts w:hint="eastAsia" w:ascii="仿宋" w:hAnsi="仿宋" w:eastAsia="仿宋"/>
          <w:b/>
          <w:bCs/>
          <w:sz w:val="32"/>
          <w:szCs w:val="32"/>
          <w:lang w:val="en-US" w:eastAsia="zh-CN"/>
        </w:rPr>
        <w:t>其他巩固脱贫攻坚成果衔接乡村振兴支出</w:t>
      </w:r>
      <w:r>
        <w:rPr>
          <w:rFonts w:hint="eastAsia" w:ascii="仿宋" w:hAnsi="仿宋" w:eastAsia="仿宋"/>
          <w:b/>
          <w:bCs/>
          <w:sz w:val="32"/>
          <w:szCs w:val="32"/>
        </w:rPr>
        <w:t>（项）：</w:t>
      </w:r>
      <w:r>
        <w:rPr>
          <w:rStyle w:val="10"/>
          <w:rFonts w:hint="eastAsia" w:ascii="仿宋" w:hAnsi="仿宋" w:eastAsia="仿宋"/>
          <w:b w:val="0"/>
          <w:bCs/>
          <w:sz w:val="32"/>
          <w:szCs w:val="32"/>
        </w:rPr>
        <w:t>支出决算为</w:t>
      </w:r>
      <w:r>
        <w:rPr>
          <w:rStyle w:val="10"/>
          <w:rFonts w:hint="eastAsia" w:ascii="仿宋" w:hAnsi="仿宋" w:eastAsia="仿宋"/>
          <w:b w:val="0"/>
          <w:bCs/>
          <w:sz w:val="32"/>
          <w:szCs w:val="32"/>
          <w:lang w:val="en-US" w:eastAsia="zh-CN"/>
        </w:rPr>
        <w:t>3.75</w:t>
      </w:r>
      <w:r>
        <w:rPr>
          <w:rStyle w:val="10"/>
          <w:rFonts w:hint="eastAsia" w:ascii="仿宋" w:hAnsi="仿宋" w:eastAsia="仿宋"/>
          <w:b w:val="0"/>
          <w:bCs/>
          <w:sz w:val="32"/>
          <w:szCs w:val="32"/>
        </w:rPr>
        <w:t>万元，完成预算100%。</w:t>
      </w:r>
    </w:p>
    <w:p>
      <w:pPr>
        <w:tabs>
          <w:tab w:val="right" w:pos="8306"/>
        </w:tabs>
        <w:spacing w:line="600" w:lineRule="exact"/>
        <w:ind w:firstLine="640"/>
        <w:rPr>
          <w:rFonts w:ascii="仿宋" w:hAnsi="仿宋" w:eastAsia="仿宋"/>
          <w:b/>
          <w:bCs/>
          <w:sz w:val="32"/>
          <w:szCs w:val="32"/>
        </w:rPr>
      </w:pPr>
      <w:r>
        <w:rPr>
          <w:rFonts w:hint="eastAsia" w:ascii="仿宋" w:hAnsi="仿宋" w:eastAsia="仿宋"/>
          <w:b/>
          <w:bCs/>
          <w:sz w:val="32"/>
          <w:szCs w:val="32"/>
          <w:lang w:val="en-US" w:eastAsia="zh-CN"/>
        </w:rPr>
        <w:t>8</w:t>
      </w:r>
      <w:r>
        <w:rPr>
          <w:rFonts w:hint="eastAsia" w:ascii="仿宋" w:hAnsi="仿宋" w:eastAsia="仿宋"/>
          <w:b/>
          <w:bCs/>
          <w:sz w:val="32"/>
          <w:szCs w:val="32"/>
        </w:rPr>
        <w:t>.农林水支出（类）普惠金融发展支出（款）创业担保贷款贴息（项）：</w:t>
      </w:r>
      <w:r>
        <w:rPr>
          <w:rStyle w:val="10"/>
          <w:rFonts w:hint="eastAsia" w:ascii="仿宋" w:hAnsi="仿宋" w:eastAsia="仿宋"/>
          <w:b w:val="0"/>
          <w:bCs/>
          <w:sz w:val="32"/>
          <w:szCs w:val="32"/>
        </w:rPr>
        <w:t>支出决算为</w:t>
      </w:r>
      <w:r>
        <w:rPr>
          <w:rStyle w:val="10"/>
          <w:rFonts w:hint="eastAsia" w:ascii="仿宋" w:hAnsi="仿宋" w:eastAsia="仿宋"/>
          <w:b w:val="0"/>
          <w:bCs/>
          <w:sz w:val="32"/>
          <w:szCs w:val="32"/>
          <w:lang w:val="en-US" w:eastAsia="zh-CN"/>
        </w:rPr>
        <w:t>0.3</w:t>
      </w:r>
      <w:r>
        <w:rPr>
          <w:rStyle w:val="10"/>
          <w:rFonts w:hint="eastAsia" w:ascii="仿宋" w:hAnsi="仿宋" w:eastAsia="仿宋"/>
          <w:b w:val="0"/>
          <w:bCs/>
          <w:sz w:val="32"/>
          <w:szCs w:val="32"/>
        </w:rPr>
        <w:t>万元，完成预算100%。</w:t>
      </w:r>
    </w:p>
    <w:p>
      <w:pPr>
        <w:spacing w:line="600" w:lineRule="exact"/>
        <w:ind w:firstLine="642" w:firstLineChars="200"/>
        <w:outlineLvl w:val="2"/>
        <w:rPr>
          <w:rFonts w:ascii="仿宋" w:hAnsi="仿宋" w:eastAsia="仿宋"/>
          <w:b/>
          <w:sz w:val="32"/>
          <w:szCs w:val="32"/>
        </w:rPr>
      </w:pPr>
      <w:bookmarkStart w:id="80" w:name="_Toc83544344"/>
      <w:bookmarkStart w:id="81" w:name="_Toc83543700"/>
      <w:r>
        <w:rPr>
          <w:rFonts w:hint="eastAsia" w:ascii="仿宋" w:hAnsi="仿宋" w:eastAsia="仿宋"/>
          <w:b/>
          <w:bCs/>
          <w:sz w:val="32"/>
          <w:szCs w:val="32"/>
          <w:lang w:val="en-US" w:eastAsia="zh-CN"/>
        </w:rPr>
        <w:t>9</w:t>
      </w:r>
      <w:r>
        <w:rPr>
          <w:rFonts w:hint="eastAsia" w:ascii="仿宋" w:hAnsi="仿宋" w:eastAsia="仿宋"/>
          <w:b/>
          <w:bCs/>
          <w:sz w:val="32"/>
          <w:szCs w:val="32"/>
        </w:rPr>
        <w:t>.住房保障支出（类）住房改革支出（款）住房公积金（项）：</w:t>
      </w:r>
      <w:r>
        <w:rPr>
          <w:rStyle w:val="10"/>
          <w:rFonts w:hint="eastAsia" w:ascii="仿宋" w:hAnsi="仿宋" w:eastAsia="仿宋"/>
          <w:b w:val="0"/>
          <w:bCs/>
          <w:sz w:val="32"/>
          <w:szCs w:val="32"/>
        </w:rPr>
        <w:t>支出决算为45.8万元，完成预算100%。</w:t>
      </w:r>
      <w:bookmarkEnd w:id="80"/>
      <w:bookmarkEnd w:id="81"/>
    </w:p>
    <w:p>
      <w:pPr>
        <w:tabs>
          <w:tab w:val="right" w:pos="8306"/>
        </w:tabs>
        <w:spacing w:line="600" w:lineRule="exact"/>
        <w:ind w:firstLine="640"/>
        <w:outlineLvl w:val="1"/>
        <w:rPr>
          <w:rStyle w:val="12"/>
        </w:rPr>
      </w:pPr>
      <w:bookmarkStart w:id="82" w:name="_Toc6735"/>
      <w:bookmarkStart w:id="83" w:name="_Toc24923"/>
      <w:bookmarkStart w:id="84" w:name="_Toc3261"/>
      <w:bookmarkStart w:id="85" w:name="_Toc24483"/>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12"/>
          <w:rFonts w:hint="eastAsia" w:ascii="黑体" w:hAnsi="黑体" w:eastAsia="黑体"/>
          <w:b w:val="0"/>
        </w:rPr>
        <w:t>般公共预算财政拨款基本支出决算情况说明</w:t>
      </w:r>
      <w:bookmarkEnd w:id="82"/>
      <w:bookmarkEnd w:id="83"/>
      <w:bookmarkEnd w:id="84"/>
      <w:bookmarkEnd w:id="85"/>
      <w:r>
        <w:rPr>
          <w:rStyle w:val="12"/>
          <w:rFonts w:ascii="黑体" w:hAnsi="黑体" w:eastAsia="黑体"/>
          <w:b w:val="0"/>
        </w:rPr>
        <w:tab/>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2023年度一般公共预算财政拨款基本支出654.14万元，其中：</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人员经费579.97万元，主要包括：基本工资、津贴补贴、奖金、机关事业单位基本养老保险缴费、职业年金缴费、</w:t>
      </w:r>
      <w:r>
        <w:rPr>
          <w:rFonts w:hint="eastAsia" w:ascii="仿宋" w:hAnsi="仿宋" w:eastAsia="仿宋"/>
          <w:sz w:val="32"/>
          <w:szCs w:val="32"/>
        </w:rPr>
        <w:t>职工基本医疗保险缴费、</w:t>
      </w:r>
      <w:r>
        <w:rPr>
          <w:rFonts w:hint="eastAsia" w:ascii="仿宋_GB2312" w:hAnsi="仿宋_GB2312" w:eastAsia="仿宋_GB2312" w:cs="仿宋_GB2312"/>
          <w:sz w:val="32"/>
          <w:szCs w:val="32"/>
        </w:rPr>
        <w:t>其他社会保障缴费、住房公积金、生活补助。</w:t>
      </w:r>
    </w:p>
    <w:p>
      <w:pPr>
        <w:spacing w:line="600" w:lineRule="exact"/>
        <w:ind w:firstLine="645"/>
        <w:rPr>
          <w:rFonts w:ascii="仿宋" w:hAnsi="仿宋" w:eastAsia="仿宋"/>
          <w:b/>
          <w:sz w:val="32"/>
          <w:szCs w:val="32"/>
        </w:rPr>
      </w:pPr>
      <w:r>
        <w:rPr>
          <w:rFonts w:hint="eastAsia" w:ascii="仿宋_GB2312" w:hAnsi="仿宋_GB2312" w:eastAsia="仿宋_GB2312" w:cs="仿宋_GB2312"/>
          <w:sz w:val="32"/>
          <w:szCs w:val="32"/>
        </w:rPr>
        <w:t>公用经费74.17万元，主要包括：办公费、</w:t>
      </w:r>
      <w:r>
        <w:rPr>
          <w:rFonts w:hint="eastAsia" w:ascii="仿宋_GB2312" w:hAnsi="仿宋_GB2312" w:eastAsia="仿宋_GB2312" w:cs="仿宋_GB2312"/>
          <w:sz w:val="32"/>
          <w:szCs w:val="32"/>
          <w:lang w:val="en-US" w:eastAsia="zh-CN"/>
        </w:rPr>
        <w:t>水费、</w:t>
      </w:r>
      <w:r>
        <w:rPr>
          <w:rFonts w:hint="eastAsia" w:ascii="仿宋_GB2312" w:hAnsi="仿宋_GB2312" w:eastAsia="仿宋_GB2312" w:cs="仿宋_GB2312"/>
          <w:sz w:val="32"/>
          <w:szCs w:val="32"/>
        </w:rPr>
        <w:t>邮电费、物业管理费、差旅费、维修（护）费、公务接待费、劳务费、工会经费、福利费、其他交通费</w:t>
      </w:r>
      <w:r>
        <w:rPr>
          <w:rFonts w:hint="eastAsia" w:ascii="仿宋_GB2312" w:hAnsi="仿宋_GB2312" w:eastAsia="仿宋_GB2312" w:cs="仿宋_GB2312"/>
          <w:sz w:val="32"/>
          <w:szCs w:val="32"/>
          <w:lang w:val="en-US" w:eastAsia="zh-CN"/>
        </w:rPr>
        <w:t>用</w:t>
      </w:r>
      <w:r>
        <w:rPr>
          <w:rFonts w:hint="eastAsia" w:ascii="仿宋_GB2312" w:hAnsi="仿宋_GB2312" w:eastAsia="仿宋_GB2312" w:cs="仿宋_GB2312"/>
          <w:sz w:val="32"/>
          <w:szCs w:val="32"/>
        </w:rPr>
        <w:t>、其他商品和服务支出。</w:t>
      </w:r>
    </w:p>
    <w:p>
      <w:pPr>
        <w:spacing w:line="600" w:lineRule="exact"/>
        <w:ind w:firstLine="640"/>
        <w:outlineLvl w:val="1"/>
        <w:rPr>
          <w:rStyle w:val="12"/>
          <w:rFonts w:ascii="黑体" w:hAnsi="黑体" w:eastAsia="黑体"/>
          <w:b w:val="0"/>
        </w:rPr>
      </w:pPr>
      <w:bookmarkStart w:id="86" w:name="_Toc8484"/>
      <w:bookmarkStart w:id="87" w:name="_Toc6337"/>
      <w:bookmarkStart w:id="88" w:name="_Toc21694"/>
      <w:bookmarkStart w:id="89" w:name="_Toc5978"/>
      <w:r>
        <w:rPr>
          <w:rFonts w:hint="eastAsia" w:ascii="黑体" w:eastAsia="黑体"/>
          <w:sz w:val="32"/>
          <w:szCs w:val="32"/>
        </w:rPr>
        <w:t>七、</w:t>
      </w:r>
      <w:r>
        <w:rPr>
          <w:rStyle w:val="12"/>
          <w:rFonts w:hint="eastAsia" w:ascii="黑体" w:hAnsi="黑体" w:eastAsia="黑体"/>
          <w:b w:val="0"/>
        </w:rPr>
        <w:t>财政拨款</w:t>
      </w:r>
      <w:r>
        <w:rPr>
          <w:rStyle w:val="12"/>
          <w:rFonts w:hint="eastAsia" w:ascii="黑体" w:hAnsi="黑体" w:eastAsia="黑体"/>
        </w:rPr>
        <w:t>“</w:t>
      </w:r>
      <w:r>
        <w:rPr>
          <w:rStyle w:val="12"/>
          <w:rFonts w:hint="eastAsia" w:ascii="黑体" w:hAnsi="黑体" w:eastAsia="黑体"/>
          <w:b w:val="0"/>
        </w:rPr>
        <w:t>三公”经费支出决算情况说明</w:t>
      </w:r>
      <w:bookmarkEnd w:id="86"/>
      <w:bookmarkEnd w:id="87"/>
      <w:bookmarkEnd w:id="88"/>
      <w:bookmarkEnd w:id="89"/>
    </w:p>
    <w:p>
      <w:pPr>
        <w:spacing w:line="600" w:lineRule="exact"/>
        <w:ind w:firstLine="64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（一）“三公”经费财政拨款支出决算总体情况说明</w:t>
      </w:r>
    </w:p>
    <w:p>
      <w:pPr>
        <w:spacing w:line="560" w:lineRule="exact"/>
        <w:ind w:firstLine="640"/>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2023年度“三公”经费财政拨款支出决算为0.75万元，完成预算100%，</w:t>
      </w:r>
      <w:bookmarkStart w:id="90" w:name="OLE_LINK41"/>
      <w:r>
        <w:rPr>
          <w:rFonts w:hint="eastAsia" w:ascii="仿宋_GB2312" w:hAnsi="仿宋_GB2312" w:eastAsia="仿宋_GB2312" w:cs="仿宋_GB2312"/>
          <w:sz w:val="32"/>
          <w:szCs w:val="32"/>
        </w:rPr>
        <w:t>较上年度增加0.75万元。</w:t>
      </w:r>
      <w:bookmarkEnd w:id="90"/>
      <w:r>
        <w:rPr>
          <w:rFonts w:hint="eastAsia" w:ascii="仿宋_GB2312" w:hAnsi="仿宋_GB2312" w:eastAsia="仿宋_GB2312" w:cs="仿宋_GB2312"/>
          <w:sz w:val="32"/>
          <w:szCs w:val="32"/>
        </w:rPr>
        <w:t>主要原因是</w:t>
      </w:r>
      <w:bookmarkStart w:id="91" w:name="OLE_LINK9"/>
      <w:bookmarkStart w:id="92" w:name="OLE_LINK12"/>
      <w:r>
        <w:rPr>
          <w:rFonts w:hint="eastAsia" w:ascii="仿宋_GB2312" w:hAnsi="仿宋_GB2312" w:eastAsia="仿宋_GB2312" w:cs="仿宋_GB2312"/>
          <w:sz w:val="32"/>
          <w:szCs w:val="32"/>
        </w:rPr>
        <w:t>2023年度不受疫情封控影响，正常公务接</w:t>
      </w:r>
      <w:bookmarkEnd w:id="91"/>
      <w:r>
        <w:rPr>
          <w:rFonts w:hint="eastAsia" w:ascii="仿宋_GB2312" w:hAnsi="仿宋_GB2312" w:eastAsia="仿宋_GB2312" w:cs="仿宋_GB2312"/>
          <w:sz w:val="32"/>
          <w:szCs w:val="32"/>
          <w:lang w:eastAsia="zh-CN"/>
        </w:rPr>
        <w:t>待。决算数与预算数持平。</w:t>
      </w:r>
    </w:p>
    <w:bookmarkEnd w:id="92"/>
    <w:p>
      <w:pPr>
        <w:spacing w:line="600" w:lineRule="exact"/>
        <w:ind w:firstLine="640"/>
        <w:outlineLvl w:val="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（二）“三公”经费财政拨款支出决算具体情况说明</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2023年度“三公”经费财政拨款支出决算中，</w:t>
      </w:r>
      <w:bookmarkStart w:id="93" w:name="OLE_LINK21"/>
      <w:r>
        <w:rPr>
          <w:rFonts w:hint="eastAsia" w:ascii="仿宋_GB2312" w:hAnsi="仿宋_GB2312" w:eastAsia="仿宋_GB2312" w:cs="仿宋_GB2312"/>
          <w:sz w:val="32"/>
          <w:szCs w:val="32"/>
        </w:rPr>
        <w:t>因公出国（境）费支出</w:t>
      </w:r>
      <w:bookmarkEnd w:id="93"/>
      <w:r>
        <w:rPr>
          <w:rFonts w:hint="eastAsia" w:ascii="仿宋_GB2312" w:hAnsi="仿宋_GB2312" w:eastAsia="仿宋_GB2312" w:cs="仿宋_GB2312"/>
          <w:sz w:val="32"/>
          <w:szCs w:val="32"/>
        </w:rPr>
        <w:t>决算0万元，占0%；</w:t>
      </w:r>
      <w:bookmarkStart w:id="94" w:name="OLE_LINK22"/>
      <w:r>
        <w:rPr>
          <w:rFonts w:hint="eastAsia" w:ascii="仿宋_GB2312" w:hAnsi="仿宋_GB2312" w:eastAsia="仿宋_GB2312" w:cs="仿宋_GB2312"/>
          <w:sz w:val="32"/>
          <w:szCs w:val="32"/>
        </w:rPr>
        <w:t>公务用车购置及运行维护费支出</w:t>
      </w:r>
      <w:bookmarkEnd w:id="94"/>
      <w:r>
        <w:rPr>
          <w:rFonts w:hint="eastAsia" w:ascii="仿宋_GB2312" w:hAnsi="仿宋_GB2312" w:eastAsia="仿宋_GB2312" w:cs="仿宋_GB2312"/>
          <w:sz w:val="32"/>
          <w:szCs w:val="32"/>
        </w:rPr>
        <w:t>决算0万元，占0%；</w:t>
      </w:r>
      <w:bookmarkStart w:id="95" w:name="OLE_LINK23"/>
      <w:r>
        <w:rPr>
          <w:rFonts w:hint="eastAsia" w:ascii="仿宋_GB2312" w:hAnsi="仿宋_GB2312" w:eastAsia="仿宋_GB2312" w:cs="仿宋_GB2312"/>
          <w:sz w:val="32"/>
          <w:szCs w:val="32"/>
        </w:rPr>
        <w:t>公务接待费支出决算</w:t>
      </w:r>
      <w:bookmarkEnd w:id="95"/>
      <w:r>
        <w:rPr>
          <w:rFonts w:hint="eastAsia" w:ascii="仿宋_GB2312" w:hAnsi="仿宋_GB2312" w:eastAsia="仿宋_GB2312" w:cs="仿宋_GB2312"/>
          <w:sz w:val="32"/>
          <w:szCs w:val="32"/>
        </w:rPr>
        <w:t>0.75万元，占100%。具体情况如下：</w:t>
      </w:r>
    </w:p>
    <w:p>
      <w:pPr>
        <w:pStyle w:val="15"/>
        <w:spacing w:line="240" w:lineRule="auto"/>
        <w:ind w:firstLine="640"/>
        <w:rPr>
          <w:rFonts w:hint="eastAsia"/>
        </w:rPr>
      </w:pPr>
      <w:r>
        <w:drawing>
          <wp:inline distT="0" distB="0" distL="114300" distR="114300">
            <wp:extent cx="4108450" cy="2454910"/>
            <wp:effectExtent l="4445" t="4445" r="20955" b="55245"/>
            <wp:docPr id="7" name="图表 7"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292" w:firstLineChars="40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w:t>
      </w:r>
    </w:p>
    <w:p>
      <w:pPr>
        <w:spacing w:line="576" w:lineRule="exact"/>
        <w:ind w:firstLine="640"/>
        <w:rPr>
          <w:rFonts w:hint="eastAsia" w:ascii="仿宋_GB2312" w:eastAsia="仿宋_GB2312"/>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bookmarkStart w:id="96" w:name="OLE_LINK13"/>
      <w:bookmarkStart w:id="97" w:name="OLE_LINK14"/>
      <w:r>
        <w:rPr>
          <w:rFonts w:hint="eastAsia" w:ascii="仿宋_GB2312" w:eastAsia="仿宋_GB2312"/>
          <w:sz w:val="32"/>
          <w:szCs w:val="32"/>
        </w:rPr>
        <w:t>年初未安排预算，</w:t>
      </w:r>
      <w:bookmarkEnd w:id="96"/>
      <w:r>
        <w:rPr>
          <w:rFonts w:hint="eastAsia" w:ascii="仿宋_GB2312" w:eastAsia="仿宋_GB2312"/>
          <w:sz w:val="32"/>
          <w:szCs w:val="32"/>
        </w:rPr>
        <w:t>支出决算较2022年无变化。</w:t>
      </w:r>
    </w:p>
    <w:bookmarkEnd w:id="97"/>
    <w:p>
      <w:pPr>
        <w:spacing w:line="576" w:lineRule="exact"/>
        <w:ind w:firstLine="640"/>
        <w:rPr>
          <w:rFonts w:hint="eastAsia" w:ascii="仿宋_GB2312" w:eastAsia="仿宋_GB2312"/>
          <w:sz w:val="32"/>
          <w:szCs w:val="32"/>
        </w:rPr>
      </w:pPr>
      <w:r>
        <w:rPr>
          <w:rFonts w:hint="eastAsia" w:ascii="仿宋_GB2312" w:hAnsi="仿宋_GB2312" w:eastAsia="仿宋_GB2312" w:cs="仿宋_GB2312"/>
          <w:b/>
          <w:sz w:val="32"/>
          <w:szCs w:val="32"/>
        </w:rPr>
        <w:t>2.公务用车购置及运行维护费支出</w:t>
      </w:r>
      <w:bookmarkStart w:id="98" w:name="OLE_LINK15"/>
      <w:r>
        <w:rPr>
          <w:rFonts w:hint="eastAsia" w:ascii="仿宋_GB2312" w:eastAsia="仿宋_GB2312"/>
          <w:sz w:val="32"/>
          <w:szCs w:val="32"/>
        </w:rPr>
        <w:t>0万元，年初未安排预算，支出决算较2022年无变化。</w:t>
      </w:r>
    </w:p>
    <w:p>
      <w:pPr>
        <w:spacing w:line="576"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w:t>
      </w:r>
      <w:r>
        <w:rPr>
          <w:rFonts w:hint="eastAsia" w:ascii="仿宋_GB2312" w:eastAsia="仿宋_GB2312"/>
          <w:sz w:val="32"/>
          <w:szCs w:val="32"/>
          <w:lang w:eastAsia="zh-CN"/>
        </w:rPr>
        <w:t>，未购置公务用车</w:t>
      </w:r>
      <w:r>
        <w:rPr>
          <w:rFonts w:hint="eastAsia" w:ascii="仿宋_GB2312" w:eastAsia="仿宋_GB2312"/>
          <w:sz w:val="32"/>
          <w:szCs w:val="32"/>
        </w:rPr>
        <w:t>。</w:t>
      </w:r>
      <w:r>
        <w:rPr>
          <w:rFonts w:ascii="仿宋_GB2312" w:eastAsia="仿宋_GB2312"/>
          <w:sz w:val="32"/>
          <w:szCs w:val="32"/>
        </w:rPr>
        <w:t>截至202</w:t>
      </w:r>
      <w:r>
        <w:rPr>
          <w:rFonts w:hint="eastAsia" w:ascii="仿宋_GB2312" w:eastAsia="仿宋_GB2312"/>
          <w:sz w:val="32"/>
          <w:szCs w:val="32"/>
        </w:rPr>
        <w:t>3</w:t>
      </w:r>
      <w:r>
        <w:rPr>
          <w:rFonts w:ascii="仿宋_GB2312" w:eastAsia="仿宋_GB2312"/>
          <w:sz w:val="32"/>
          <w:szCs w:val="32"/>
        </w:rPr>
        <w:t>年12月底我单位</w:t>
      </w:r>
      <w:r>
        <w:rPr>
          <w:rFonts w:hint="eastAsia" w:ascii="仿宋_GB2312" w:eastAsia="仿宋_GB2312"/>
          <w:sz w:val="32"/>
          <w:szCs w:val="32"/>
        </w:rPr>
        <w:t>有</w:t>
      </w:r>
      <w:r>
        <w:rPr>
          <w:rFonts w:ascii="仿宋_GB2312" w:eastAsia="仿宋_GB2312"/>
          <w:sz w:val="32"/>
          <w:szCs w:val="32"/>
        </w:rPr>
        <w:t>公务用车1辆，其中轿车1辆。</w:t>
      </w:r>
    </w:p>
    <w:bookmarkEnd w:id="98"/>
    <w:p>
      <w:pPr>
        <w:spacing w:line="576" w:lineRule="exact"/>
        <w:ind w:firstLine="640"/>
      </w:pPr>
      <w:r>
        <w:rPr>
          <w:rFonts w:hint="eastAsia" w:ascii="仿宋_GB2312" w:eastAsia="仿宋_GB2312"/>
          <w:b/>
          <w:sz w:val="32"/>
          <w:szCs w:val="32"/>
        </w:rPr>
        <w:t>公务用车运行维护费支出</w:t>
      </w:r>
      <w:r>
        <w:rPr>
          <w:rFonts w:hint="eastAsia" w:ascii="仿宋_GB2312" w:eastAsia="仿宋_GB2312"/>
          <w:sz w:val="32"/>
          <w:szCs w:val="32"/>
        </w:rPr>
        <w:t>0万元。</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0.75万元，</w:t>
      </w:r>
      <w:r>
        <w:rPr>
          <w:rStyle w:val="10"/>
          <w:rFonts w:hint="eastAsia" w:ascii="仿宋_GB2312" w:hAnsi="仿宋_GB2312" w:eastAsia="仿宋_GB2312" w:cs="仿宋_GB2312"/>
          <w:b w:val="0"/>
          <w:bCs/>
          <w:sz w:val="32"/>
          <w:szCs w:val="32"/>
        </w:rPr>
        <w:t>完成预算100%。</w:t>
      </w:r>
      <w:r>
        <w:rPr>
          <w:rFonts w:hint="eastAsia" w:ascii="仿宋_GB2312" w:hAnsi="仿宋_GB2312" w:eastAsia="仿宋_GB2312" w:cs="仿宋_GB2312"/>
          <w:sz w:val="32"/>
          <w:szCs w:val="32"/>
        </w:rPr>
        <w:t>公务接待费支出决算</w:t>
      </w:r>
      <w:bookmarkStart w:id="99" w:name="OLE_LINK48"/>
      <w:r>
        <w:rPr>
          <w:rFonts w:hint="eastAsia" w:ascii="仿宋_GB2312" w:hAnsi="仿宋_GB2312" w:eastAsia="仿宋_GB2312" w:cs="仿宋_GB2312"/>
          <w:sz w:val="32"/>
          <w:szCs w:val="32"/>
        </w:rPr>
        <w:t>比2022年度增加0.75万元。主</w:t>
      </w:r>
      <w:bookmarkEnd w:id="99"/>
      <w:r>
        <w:rPr>
          <w:rFonts w:hint="eastAsia" w:ascii="仿宋_GB2312" w:hAnsi="仿宋_GB2312" w:eastAsia="仿宋_GB2312" w:cs="仿宋_GB2312"/>
          <w:sz w:val="32"/>
          <w:szCs w:val="32"/>
        </w:rPr>
        <w:t>要原因是</w:t>
      </w:r>
      <w:r>
        <w:rPr>
          <w:rFonts w:hint="eastAsia" w:ascii="仿宋" w:hAnsi="仿宋" w:eastAsia="仿宋"/>
          <w:sz w:val="32"/>
          <w:szCs w:val="32"/>
        </w:rPr>
        <w:t>2023年度不受疫情封控影响，正常公务接待</w:t>
      </w:r>
      <w:r>
        <w:rPr>
          <w:rFonts w:hint="eastAsia" w:ascii="仿宋_GB2312" w:hAnsi="仿宋_GB2312" w:eastAsia="仿宋_GB2312" w:cs="仿宋_GB2312"/>
          <w:sz w:val="32"/>
          <w:szCs w:val="32"/>
        </w:rPr>
        <w:t>。其中：</w:t>
      </w:r>
    </w:p>
    <w:p>
      <w:pPr>
        <w:spacing w:line="600" w:lineRule="exact"/>
        <w:ind w:firstLine="642" w:firstLineChars="200"/>
        <w:rPr>
          <w:rFonts w:hint="eastAsia" w:ascii="仿宋_GB2312" w:hAnsi="仿宋_GB2312" w:eastAsia="仿宋_GB2312" w:cs="仿宋_GB2312"/>
          <w:sz w:val="32"/>
          <w:szCs w:val="32"/>
        </w:rPr>
      </w:pPr>
      <w:bookmarkStart w:id="100" w:name="OLE_LINK10"/>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0.75万元，主要用于执行公务、开展业务活动开支的用餐费。国内公务接待5批次，50人次（不包括陪同人员），共计支出0.75万元，具体内容包括：</w:t>
      </w:r>
      <w:bookmarkStart w:id="101" w:name="OLE_LINK40"/>
      <w:r>
        <w:rPr>
          <w:rFonts w:hint="eastAsia" w:ascii="仿宋_GB2312" w:hAnsi="仿宋_GB2312" w:eastAsia="仿宋_GB2312" w:cs="仿宋_GB2312"/>
          <w:sz w:val="32"/>
          <w:szCs w:val="32"/>
        </w:rPr>
        <w:t>考察学习、工作调研、开展活动等支</w:t>
      </w:r>
      <w:bookmarkEnd w:id="101"/>
      <w:r>
        <w:rPr>
          <w:rFonts w:hint="eastAsia" w:ascii="仿宋_GB2312" w:hAnsi="仿宋_GB2312" w:eastAsia="仿宋_GB2312" w:cs="仿宋_GB2312"/>
          <w:sz w:val="32"/>
          <w:szCs w:val="32"/>
        </w:rPr>
        <w:t>出。</w:t>
      </w:r>
    </w:p>
    <w:bookmarkEnd w:id="100"/>
    <w:p>
      <w:pPr>
        <w:spacing w:line="600" w:lineRule="exact"/>
        <w:ind w:firstLine="642" w:firstLineChars="200"/>
        <w:rPr>
          <w:rFonts w:ascii="黑体" w:eastAsia="黑体"/>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w:t>
      </w:r>
      <w:r>
        <w:rPr>
          <w:rFonts w:hint="eastAsia" w:ascii="仿宋" w:hAnsi="仿宋" w:eastAsia="仿宋"/>
          <w:sz w:val="32"/>
          <w:szCs w:val="32"/>
        </w:rPr>
        <w:t>全年未发生外事接待支出</w:t>
      </w:r>
      <w:r>
        <w:rPr>
          <w:rFonts w:hint="eastAsia" w:ascii="仿宋_GB2312" w:hAnsi="仿宋_GB2312" w:eastAsia="仿宋_GB2312" w:cs="仿宋_GB2312"/>
          <w:sz w:val="32"/>
          <w:szCs w:val="32"/>
        </w:rPr>
        <w:t>。</w:t>
      </w:r>
    </w:p>
    <w:p>
      <w:pPr>
        <w:spacing w:line="600" w:lineRule="exact"/>
        <w:ind w:firstLine="640"/>
        <w:outlineLvl w:val="1"/>
        <w:rPr>
          <w:rStyle w:val="12"/>
          <w:rFonts w:ascii="黑体" w:hAnsi="黑体" w:eastAsia="黑体"/>
        </w:rPr>
      </w:pPr>
      <w:bookmarkStart w:id="102" w:name="_Toc1178"/>
      <w:bookmarkStart w:id="103" w:name="_Toc29434"/>
      <w:bookmarkStart w:id="104" w:name="_Toc32452"/>
      <w:bookmarkStart w:id="105" w:name="_Toc15217"/>
      <w:r>
        <w:rPr>
          <w:rFonts w:hint="eastAsia" w:ascii="黑体" w:eastAsia="黑体"/>
          <w:sz w:val="32"/>
          <w:szCs w:val="32"/>
        </w:rPr>
        <w:t>八、</w:t>
      </w:r>
      <w:r>
        <w:rPr>
          <w:rStyle w:val="12"/>
          <w:rFonts w:hint="eastAsia" w:ascii="黑体" w:hAnsi="黑体" w:eastAsia="黑体"/>
          <w:b w:val="0"/>
        </w:rPr>
        <w:t>政府性基金预算支出决算情况说明</w:t>
      </w:r>
      <w:bookmarkEnd w:id="102"/>
      <w:bookmarkEnd w:id="103"/>
      <w:bookmarkEnd w:id="104"/>
      <w:bookmarkEnd w:id="105"/>
    </w:p>
    <w:p>
      <w:pPr>
        <w:spacing w:line="600" w:lineRule="exact"/>
        <w:ind w:firstLine="640"/>
        <w:rPr>
          <w:rFonts w:ascii="仿宋_GB2312" w:eastAsia="仿宋_GB2312"/>
          <w:sz w:val="32"/>
          <w:szCs w:val="32"/>
        </w:rPr>
      </w:pPr>
      <w:r>
        <w:rPr>
          <w:rFonts w:hint="eastAsia" w:ascii="仿宋_GB2312" w:eastAsia="仿宋_GB2312"/>
          <w:sz w:val="32"/>
          <w:szCs w:val="32"/>
        </w:rPr>
        <w:t>2023年度政府性基金预算财政拨款支出0万元。</w:t>
      </w:r>
    </w:p>
    <w:p>
      <w:pPr>
        <w:spacing w:line="600" w:lineRule="exact"/>
        <w:ind w:firstLine="640" w:firstLineChars="200"/>
        <w:outlineLvl w:val="1"/>
        <w:rPr>
          <w:rStyle w:val="12"/>
          <w:rFonts w:ascii="黑体" w:hAnsi="黑体" w:eastAsia="黑体"/>
          <w:b w:val="0"/>
        </w:rPr>
      </w:pPr>
      <w:bookmarkStart w:id="106" w:name="_Toc7276"/>
      <w:bookmarkStart w:id="107" w:name="_Toc18579"/>
      <w:bookmarkStart w:id="108" w:name="_Toc8308"/>
      <w:bookmarkStart w:id="109" w:name="_Toc6404"/>
      <w:r>
        <w:rPr>
          <w:rStyle w:val="12"/>
          <w:rFonts w:hint="eastAsia" w:ascii="黑体" w:hAnsi="黑体" w:eastAsia="黑体"/>
          <w:b w:val="0"/>
        </w:rPr>
        <w:t>九、国有资本经营预算支出决算情况说明</w:t>
      </w:r>
      <w:bookmarkEnd w:id="106"/>
      <w:bookmarkEnd w:id="107"/>
      <w:bookmarkEnd w:id="108"/>
      <w:bookmarkEnd w:id="10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sz w:val="32"/>
          <w:szCs w:val="32"/>
        </w:rPr>
        <w:t>2023年度国有资本经营预算财政拨款支出0万元。</w:t>
      </w:r>
    </w:p>
    <w:p>
      <w:pPr>
        <w:spacing w:line="600" w:lineRule="exact"/>
        <w:ind w:firstLine="640" w:firstLineChars="200"/>
        <w:outlineLvl w:val="1"/>
        <w:rPr>
          <w:rStyle w:val="12"/>
          <w:rFonts w:hint="eastAsia" w:ascii="黑体" w:hAnsi="黑体" w:eastAsia="黑体"/>
          <w:b w:val="0"/>
        </w:rPr>
      </w:pPr>
      <w:bookmarkStart w:id="110" w:name="_Toc140"/>
      <w:bookmarkStart w:id="111" w:name="_Toc4150"/>
      <w:bookmarkStart w:id="112" w:name="_Toc2314"/>
      <w:bookmarkStart w:id="113" w:name="_Toc27496"/>
      <w:r>
        <w:rPr>
          <w:rStyle w:val="12"/>
          <w:rFonts w:hint="eastAsia" w:ascii="黑体" w:hAnsi="黑体" w:eastAsia="黑体"/>
          <w:b w:val="0"/>
        </w:rPr>
        <w:t>十、其他重要事项的情况说明</w:t>
      </w:r>
      <w:bookmarkEnd w:id="110"/>
      <w:bookmarkEnd w:id="111"/>
      <w:bookmarkEnd w:id="112"/>
      <w:bookmarkEnd w:id="113"/>
    </w:p>
    <w:p>
      <w:pPr>
        <w:spacing w:line="600" w:lineRule="exact"/>
        <w:ind w:firstLine="642" w:firstLineChars="200"/>
        <w:outlineLvl w:val="2"/>
        <w:rPr>
          <w:rFonts w:ascii="仿宋" w:hAnsi="仿宋" w:eastAsia="仿宋"/>
          <w:sz w:val="32"/>
          <w:szCs w:val="32"/>
        </w:rPr>
      </w:pPr>
      <w:r>
        <w:rPr>
          <w:rFonts w:hint="eastAsia" w:ascii="仿宋" w:hAnsi="仿宋" w:eastAsia="仿宋"/>
          <w:b/>
          <w:sz w:val="32"/>
          <w:szCs w:val="32"/>
        </w:rPr>
        <w:t>（一）机关运行经费支出情况</w:t>
      </w:r>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2023年度，广元市就业创业促进中心机关运行经费支出74.17万元，比2022年度减少16.82万元，下降18.5%。主要原因是</w:t>
      </w:r>
      <w:bookmarkStart w:id="114" w:name="OLE_LINK19"/>
      <w:r>
        <w:rPr>
          <w:rFonts w:hint="eastAsia" w:ascii="仿宋_GB2312" w:eastAsia="仿宋_GB2312"/>
          <w:sz w:val="32"/>
          <w:szCs w:val="32"/>
        </w:rPr>
        <w:t>与往年相比财政预算有所减少、业务活动量也有所减少。</w:t>
      </w:r>
      <w:bookmarkEnd w:id="114"/>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（二）政府采购支出情况</w:t>
      </w:r>
    </w:p>
    <w:p>
      <w:pPr>
        <w:spacing w:line="600" w:lineRule="exact"/>
        <w:ind w:firstLine="640"/>
        <w:rPr>
          <w:rFonts w:hint="eastAsia" w:ascii="仿宋_GB2312" w:eastAsia="仿宋_GB2312"/>
          <w:sz w:val="32"/>
          <w:szCs w:val="32"/>
        </w:rPr>
      </w:pPr>
      <w:r>
        <w:rPr>
          <w:rFonts w:hint="eastAsia" w:ascii="仿宋_GB2312" w:eastAsia="仿宋_GB2312"/>
          <w:sz w:val="32"/>
          <w:szCs w:val="32"/>
        </w:rPr>
        <w:t>2023年度，</w:t>
      </w:r>
      <w:bookmarkStart w:id="115" w:name="OLE_LINK20"/>
      <w:bookmarkStart w:id="116" w:name="_Toc83544355"/>
      <w:bookmarkStart w:id="117" w:name="_Toc83543711"/>
      <w:r>
        <w:rPr>
          <w:rFonts w:hint="eastAsia" w:ascii="仿宋_GB2312" w:eastAsia="仿宋_GB2312"/>
          <w:sz w:val="32"/>
          <w:szCs w:val="32"/>
        </w:rPr>
        <w:t>广元市就业创业促进中心</w:t>
      </w:r>
      <w:bookmarkEnd w:id="115"/>
      <w:r>
        <w:rPr>
          <w:rFonts w:hint="eastAsia" w:ascii="仿宋_GB2312" w:eastAsia="仿宋_GB2312"/>
          <w:sz w:val="32"/>
          <w:szCs w:val="32"/>
        </w:rPr>
        <w:t>无政府采购支出。</w:t>
      </w:r>
      <w:bookmarkEnd w:id="116"/>
      <w:bookmarkEnd w:id="117"/>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（三）国有资产占有使用情况</w:t>
      </w:r>
    </w:p>
    <w:p>
      <w:pPr>
        <w:autoSpaceDE w:val="0"/>
        <w:autoSpaceDN w:val="0"/>
        <w:adjustRightInd w:val="0"/>
        <w:spacing w:line="600" w:lineRule="exact"/>
        <w:ind w:firstLine="640" w:firstLineChars="200"/>
        <w:jc w:val="left"/>
        <w:rPr>
          <w:rFonts w:hint="eastAsia" w:ascii="仿宋_GB2312" w:eastAsia="仿宋_GB2312"/>
          <w:sz w:val="32"/>
          <w:szCs w:val="32"/>
        </w:rPr>
      </w:pPr>
      <w:r>
        <w:rPr>
          <w:rFonts w:hint="eastAsia" w:ascii="仿宋_GB2312" w:eastAsia="仿宋_GB2312"/>
          <w:sz w:val="32"/>
          <w:szCs w:val="32"/>
        </w:rPr>
        <w:t>截至2023年12月31日，广元市就业创业促进中心单位账面反映有公务用车1辆，</w:t>
      </w:r>
      <w:bookmarkStart w:id="118" w:name="OLE_LINK24"/>
      <w:r>
        <w:rPr>
          <w:rFonts w:hint="eastAsia" w:ascii="仿宋_GB2312" w:eastAsia="仿宋_GB2312"/>
          <w:sz w:val="32"/>
          <w:szCs w:val="32"/>
        </w:rPr>
        <w:t>实际该车在报废待办程序中，已无公务用车。</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eastAsia="zh-CN"/>
        </w:rPr>
        <w:t>（不含车辆）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bookmarkStart w:id="192" w:name="_GoBack"/>
      <w:bookmarkEnd w:id="192"/>
    </w:p>
    <w:bookmarkEnd w:id="118"/>
    <w:p>
      <w:pPr>
        <w:autoSpaceDE w:val="0"/>
        <w:autoSpaceDN w:val="0"/>
        <w:adjustRightInd w:val="0"/>
        <w:spacing w:line="600" w:lineRule="exact"/>
        <w:ind w:firstLine="642" w:firstLineChars="200"/>
        <w:jc w:val="left"/>
        <w:outlineLvl w:val="2"/>
        <w:rPr>
          <w:rFonts w:hint="eastAsia" w:ascii="仿宋" w:hAnsi="仿宋" w:eastAsia="仿宋"/>
          <w:b/>
          <w:sz w:val="32"/>
          <w:szCs w:val="32"/>
        </w:rPr>
      </w:pPr>
      <w:r>
        <w:rPr>
          <w:rFonts w:hint="eastAsia" w:ascii="仿宋" w:hAnsi="仿宋" w:eastAsia="仿宋"/>
          <w:b/>
          <w:sz w:val="32"/>
          <w:szCs w:val="32"/>
        </w:rPr>
        <w:t>（四）预算绩效管理情况</w:t>
      </w:r>
    </w:p>
    <w:p>
      <w:pPr>
        <w:spacing w:line="576" w:lineRule="exact"/>
        <w:ind w:firstLine="640" w:firstLineChars="200"/>
        <w:rPr>
          <w:rFonts w:hint="eastAsia" w:ascii="仿宋_GB2312" w:hAnsi="仿宋_GB2312" w:eastAsia="仿宋_GB2312" w:cs="仿宋_GB2312"/>
          <w:sz w:val="32"/>
          <w:szCs w:val="32"/>
        </w:rPr>
      </w:pPr>
      <w:bookmarkStart w:id="119" w:name="OLE_LINK11"/>
      <w:r>
        <w:rPr>
          <w:rFonts w:hint="eastAsia" w:ascii="仿宋_GB2312" w:hAnsi="仿宋_GB2312" w:eastAsia="仿宋_GB2312" w:cs="仿宋_GB2312"/>
          <w:sz w:val="32"/>
          <w:szCs w:val="32"/>
        </w:rPr>
        <w:t>根据预算绩效管理要求，本单位在2023年度预算编制阶段，组织对人员类支出、公用经费及失业人员档案管理经费、职业培训监督指导工作经费、保障失业人员基本生活工作经费、</w:t>
      </w:r>
      <w:bookmarkStart w:id="120" w:name="OLE_LINK27"/>
      <w:r>
        <w:rPr>
          <w:rFonts w:hint="eastAsia" w:ascii="仿宋_GB2312" w:hAnsi="仿宋_GB2312" w:eastAsia="仿宋_GB2312" w:cs="仿宋_GB2312"/>
          <w:sz w:val="32"/>
          <w:szCs w:val="32"/>
        </w:rPr>
        <w:t>创新创业工作经费、</w:t>
      </w:r>
      <w:bookmarkEnd w:id="120"/>
      <w:bookmarkStart w:id="121" w:name="OLE_LINK28"/>
      <w:bookmarkStart w:id="122" w:name="OLE_LINK29"/>
      <w:r>
        <w:rPr>
          <w:rFonts w:hint="eastAsia" w:ascii="仿宋_GB2312" w:hAnsi="仿宋_GB2312" w:eastAsia="仿宋_GB2312" w:cs="仿宋_GB2312"/>
          <w:sz w:val="32"/>
          <w:szCs w:val="32"/>
        </w:rPr>
        <w:t>失业动态监测</w:t>
      </w:r>
      <w:bookmarkEnd w:id="121"/>
      <w:r>
        <w:rPr>
          <w:rFonts w:hint="eastAsia" w:ascii="仿宋_GB2312" w:hAnsi="仿宋_GB2312" w:eastAsia="仿宋_GB2312" w:cs="仿宋_GB2312"/>
          <w:sz w:val="32"/>
          <w:szCs w:val="32"/>
        </w:rPr>
        <w:t>、失业预警工作经费</w:t>
      </w:r>
      <w:bookmarkEnd w:id="122"/>
      <w:bookmarkStart w:id="123" w:name="OLE_LINK30"/>
      <w:r>
        <w:rPr>
          <w:rFonts w:hint="eastAsia" w:ascii="仿宋_GB2312" w:hAnsi="仿宋_GB2312" w:eastAsia="仿宋_GB2312" w:cs="仿宋_GB2312"/>
          <w:sz w:val="32"/>
          <w:szCs w:val="32"/>
        </w:rPr>
        <w:t>、以及</w:t>
      </w:r>
      <w:bookmarkEnd w:id="123"/>
      <w:bookmarkStart w:id="124" w:name="OLE_LINK26"/>
      <w:r>
        <w:rPr>
          <w:rFonts w:hint="eastAsia" w:ascii="仿宋_GB2312" w:hAnsi="仿宋_GB2312" w:eastAsia="仿宋_GB2312" w:cs="仿宋_GB2312"/>
          <w:sz w:val="32"/>
          <w:szCs w:val="32"/>
        </w:rPr>
        <w:t>追加的促进就业创业专项工作经费、</w:t>
      </w:r>
      <w:bookmarkEnd w:id="124"/>
      <w:r>
        <w:rPr>
          <w:rFonts w:hint="eastAsia" w:ascii="仿宋_GB2312" w:hAnsi="仿宋_GB2312" w:eastAsia="仿宋_GB2312" w:cs="仿宋_GB2312"/>
          <w:sz w:val="32"/>
          <w:szCs w:val="32"/>
        </w:rPr>
        <w:t>乡村振兴驻村工作经费、</w:t>
      </w:r>
      <w:bookmarkStart w:id="125" w:name="OLE_LINK31"/>
      <w:r>
        <w:rPr>
          <w:rFonts w:hint="eastAsia" w:ascii="仿宋_GB2312" w:hAnsi="仿宋_GB2312" w:eastAsia="仿宋_GB2312" w:cs="仿宋_GB2312"/>
          <w:sz w:val="32"/>
          <w:szCs w:val="32"/>
        </w:rPr>
        <w:t>创业担保贷款贴息及奖补资金、</w:t>
      </w:r>
      <w:bookmarkEnd w:id="125"/>
      <w:r>
        <w:rPr>
          <w:rFonts w:hint="eastAsia" w:ascii="仿宋_GB2312" w:hAnsi="仿宋_GB2312" w:eastAsia="仿宋_GB2312" w:cs="仿宋_GB2312"/>
          <w:sz w:val="32"/>
          <w:szCs w:val="32"/>
        </w:rPr>
        <w:t>就业创业补助资金等9个项目开展了预算事前绩效评估，编制了绩效目标，预算执行过程中，选取9个项目开展绩效监控，组织对9个项目开展绩效自评，绩效自评表见第四部分附件。</w:t>
      </w:r>
    </w:p>
    <w:bookmarkEnd w:id="119"/>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br w:type="page"/>
      </w:r>
    </w:p>
    <w:p>
      <w:pPr>
        <w:spacing w:line="600" w:lineRule="exact"/>
        <w:jc w:val="center"/>
        <w:outlineLvl w:val="0"/>
        <w:rPr>
          <w:rStyle w:val="11"/>
          <w:rFonts w:ascii="黑体" w:hAnsi="黑体" w:eastAsia="黑体"/>
          <w:b w:val="0"/>
        </w:rPr>
      </w:pPr>
      <w:bookmarkStart w:id="126" w:name="_Toc27665"/>
      <w:bookmarkStart w:id="127" w:name="_Toc4889"/>
      <w:bookmarkStart w:id="128" w:name="_Toc30431"/>
      <w:bookmarkStart w:id="129" w:name="_Toc15779"/>
      <w:r>
        <w:rPr>
          <w:rFonts w:hint="eastAsia" w:ascii="黑体" w:hAnsi="黑体" w:eastAsia="黑体"/>
          <w:sz w:val="44"/>
          <w:szCs w:val="44"/>
        </w:rPr>
        <w:t>第三部分  名</w:t>
      </w:r>
      <w:r>
        <w:rPr>
          <w:rStyle w:val="11"/>
          <w:rFonts w:hint="eastAsia" w:ascii="黑体" w:hAnsi="黑体" w:eastAsia="黑体"/>
          <w:b w:val="0"/>
        </w:rPr>
        <w:t>词解释</w:t>
      </w:r>
      <w:bookmarkEnd w:id="126"/>
      <w:bookmarkEnd w:id="127"/>
      <w:bookmarkEnd w:id="128"/>
      <w:bookmarkEnd w:id="129"/>
    </w:p>
    <w:p>
      <w:pPr>
        <w:spacing w:line="600" w:lineRule="exact"/>
        <w:jc w:val="left"/>
        <w:rPr>
          <w:rFonts w:ascii="宋体"/>
          <w:b/>
          <w:sz w:val="44"/>
          <w:szCs w:val="44"/>
        </w:rPr>
      </w:pPr>
    </w:p>
    <w:p>
      <w:pPr>
        <w:pStyle w:val="17"/>
        <w:numPr>
          <w:ilvl w:val="0"/>
          <w:numId w:val="2"/>
        </w:numPr>
        <w:spacing w:line="560" w:lineRule="exact"/>
        <w:ind w:left="0" w:leftChars="0" w:firstLine="400" w:firstLineChars="0"/>
        <w:outlineLvl w:val="1"/>
        <w:rPr>
          <w:rFonts w:ascii="仿宋_GB2312" w:eastAsia="仿宋_GB2312"/>
          <w:color w:val="auto"/>
          <w:spacing w:val="-10"/>
          <w:sz w:val="32"/>
          <w:szCs w:val="32"/>
        </w:rPr>
      </w:pPr>
      <w:bookmarkStart w:id="130" w:name="_Toc17673"/>
      <w:bookmarkStart w:id="131" w:name="_Toc157"/>
      <w:bookmarkStart w:id="132" w:name="_Toc14925"/>
      <w:r>
        <w:rPr>
          <w:rFonts w:hint="eastAsia" w:ascii="仿宋_GB2312" w:eastAsia="仿宋_GB2312"/>
          <w:color w:val="auto"/>
          <w:sz w:val="32"/>
          <w:szCs w:val="32"/>
        </w:rPr>
        <w:t>财</w:t>
      </w:r>
      <w:r>
        <w:rPr>
          <w:rFonts w:hint="eastAsia" w:ascii="仿宋_GB2312" w:eastAsia="仿宋_GB2312"/>
          <w:color w:val="auto"/>
          <w:spacing w:val="-10"/>
          <w:sz w:val="32"/>
          <w:szCs w:val="32"/>
        </w:rPr>
        <w:t>政拨款收入：指单位从同级财政部门取得的财政预算资金。</w:t>
      </w:r>
      <w:bookmarkEnd w:id="130"/>
      <w:bookmarkEnd w:id="131"/>
      <w:bookmarkEnd w:id="132"/>
    </w:p>
    <w:p>
      <w:pPr>
        <w:numPr>
          <w:ilvl w:val="0"/>
          <w:numId w:val="2"/>
        </w:numPr>
        <w:autoSpaceDE w:val="0"/>
        <w:autoSpaceDN w:val="0"/>
        <w:adjustRightInd w:val="0"/>
        <w:spacing w:line="560" w:lineRule="exact"/>
        <w:ind w:left="0" w:leftChars="0" w:firstLine="400" w:firstLineChars="0"/>
        <w:rPr>
          <w:rFonts w:ascii="仿宋_GB2312" w:eastAsia="仿宋_GB2312" w:cs="仿宋"/>
          <w:sz w:val="32"/>
          <w:szCs w:val="32"/>
        </w:rPr>
      </w:pPr>
      <w:bookmarkStart w:id="133" w:name="OLE_LINK25"/>
      <w:r>
        <w:rPr>
          <w:rFonts w:hint="eastAsia" w:ascii="仿宋_GB2312" w:eastAsia="仿宋_GB2312" w:cs="仿宋"/>
          <w:sz w:val="32"/>
          <w:szCs w:val="32"/>
        </w:rPr>
        <w:t>年初结转和结余：指以前年度尚未完成、结转到本年按有关规定继续使用的资金。</w:t>
      </w:r>
      <w:r>
        <w:rPr>
          <w:rFonts w:ascii="仿宋_GB2312" w:eastAsia="仿宋_GB2312" w:cs="仿宋"/>
          <w:sz w:val="32"/>
          <w:szCs w:val="32"/>
        </w:rPr>
        <w:t xml:space="preserve"> </w:t>
      </w:r>
    </w:p>
    <w:p>
      <w:pPr>
        <w:numPr>
          <w:ilvl w:val="0"/>
          <w:numId w:val="2"/>
        </w:numPr>
        <w:tabs>
          <w:tab w:val="right" w:pos="8306"/>
        </w:tabs>
        <w:spacing w:line="600" w:lineRule="exact"/>
        <w:ind w:left="0" w:leftChars="0" w:firstLine="400" w:firstLineChars="0"/>
        <w:rPr>
          <w:rFonts w:hint="eastAsia" w:ascii="仿宋_GB2312" w:hAnsi="Times New Roman" w:eastAsia="仿宋_GB2312"/>
          <w:sz w:val="32"/>
          <w:szCs w:val="32"/>
        </w:rPr>
      </w:pPr>
      <w:r>
        <w:rPr>
          <w:rFonts w:hint="eastAsia" w:ascii="仿宋_GB2312" w:hAnsi="Times New Roman" w:eastAsia="仿宋_GB2312"/>
          <w:sz w:val="32"/>
          <w:szCs w:val="32"/>
        </w:rPr>
        <w:t>社会保障和就业支出（类）人力资源和社会保障管理事务（款）就业管理事务（项）：反映就业</w:t>
      </w:r>
      <w:r>
        <w:rPr>
          <w:rFonts w:ascii="仿宋_GB2312" w:hAnsi="Times New Roman" w:eastAsia="仿宋_GB2312"/>
          <w:sz w:val="32"/>
          <w:szCs w:val="32"/>
        </w:rPr>
        <w:t>和职业技能鉴定管理方面的支出</w:t>
      </w:r>
      <w:r>
        <w:rPr>
          <w:rFonts w:hint="eastAsia" w:ascii="仿宋_GB2312" w:hAnsi="Times New Roman" w:eastAsia="仿宋_GB2312"/>
          <w:sz w:val="32"/>
          <w:szCs w:val="32"/>
        </w:rPr>
        <w:t>。</w:t>
      </w:r>
    </w:p>
    <w:p>
      <w:pPr>
        <w:pStyle w:val="17"/>
        <w:numPr>
          <w:ilvl w:val="0"/>
          <w:numId w:val="2"/>
        </w:numPr>
        <w:spacing w:line="560" w:lineRule="exact"/>
        <w:ind w:left="0" w:leftChars="0" w:firstLine="400" w:firstLineChars="0"/>
        <w:rPr>
          <w:rFonts w:hint="eastAsia" w:ascii="仿宋_GB2312" w:eastAsia="仿宋_GB2312"/>
          <w:sz w:val="32"/>
          <w:szCs w:val="32"/>
        </w:rPr>
      </w:pPr>
      <w:r>
        <w:rPr>
          <w:rFonts w:hint="eastAsia" w:ascii="仿宋_GB2312" w:eastAsia="仿宋_GB2312"/>
          <w:sz w:val="32"/>
          <w:szCs w:val="32"/>
        </w:rPr>
        <w:t>社会保障和就业支出（类）人力资源和社会保障管理事务（款）其他人力资源和社会保障管理事务支出（项）：反映除上述项目以外其他人力资源和社会保障管理事务方面的支出。</w:t>
      </w:r>
    </w:p>
    <w:p>
      <w:pPr>
        <w:pStyle w:val="17"/>
        <w:numPr>
          <w:ilvl w:val="0"/>
          <w:numId w:val="2"/>
        </w:numPr>
        <w:spacing w:line="560" w:lineRule="exact"/>
        <w:ind w:left="0" w:leftChars="0" w:firstLine="400" w:firstLineChars="0"/>
        <w:rPr>
          <w:rFonts w:hint="eastAsia" w:ascii="仿宋_GB2312" w:hAnsi="Times New Roman" w:eastAsia="仿宋_GB2312"/>
          <w:kern w:val="0"/>
          <w:sz w:val="32"/>
          <w:szCs w:val="32"/>
          <w:lang w:eastAsia="zh-CN"/>
        </w:rPr>
      </w:pPr>
      <w:r>
        <w:rPr>
          <w:rFonts w:hint="eastAsia" w:ascii="仿宋_GB2312" w:hAnsi="Times New Roman" w:eastAsia="仿宋_GB2312"/>
          <w:kern w:val="0"/>
          <w:sz w:val="32"/>
          <w:szCs w:val="32"/>
        </w:rPr>
        <w:t>社会保障和就业支出（类）行政事业单位养老支出（款）机关事业单位基本养老保险缴费支出（项）：反映机关事业单位实施养老保险制度</w:t>
      </w:r>
      <w:r>
        <w:rPr>
          <w:rFonts w:hint="eastAsia" w:ascii="仿宋_GB2312" w:hAnsi="Times New Roman" w:eastAsia="仿宋_GB2312"/>
          <w:kern w:val="0"/>
          <w:sz w:val="32"/>
          <w:szCs w:val="32"/>
          <w:lang w:eastAsia="zh-CN"/>
        </w:rPr>
        <w:t>有关</w:t>
      </w:r>
      <w:r>
        <w:rPr>
          <w:rFonts w:hint="eastAsia" w:ascii="仿宋_GB2312" w:hAnsi="Times New Roman" w:eastAsia="仿宋_GB2312"/>
          <w:kern w:val="0"/>
          <w:sz w:val="32"/>
          <w:szCs w:val="32"/>
        </w:rPr>
        <w:t>单位缴纳的基本养老保险费支出</w:t>
      </w:r>
      <w:r>
        <w:rPr>
          <w:rFonts w:hint="eastAsia" w:ascii="仿宋_GB2312" w:hAnsi="Times New Roman" w:eastAsia="仿宋_GB2312"/>
          <w:kern w:val="0"/>
          <w:sz w:val="32"/>
          <w:szCs w:val="32"/>
          <w:lang w:eastAsia="zh-CN"/>
        </w:rPr>
        <w:t>。</w:t>
      </w:r>
    </w:p>
    <w:p>
      <w:pPr>
        <w:pStyle w:val="17"/>
        <w:numPr>
          <w:ilvl w:val="0"/>
          <w:numId w:val="2"/>
        </w:numPr>
        <w:spacing w:line="560" w:lineRule="exact"/>
        <w:ind w:left="0" w:leftChars="0" w:firstLine="400" w:firstLineChars="0"/>
        <w:rPr>
          <w:rFonts w:hint="eastAsia" w:ascii="仿宋_GB2312" w:hAnsi="Times New Roman" w:eastAsia="仿宋_GB2312"/>
          <w:kern w:val="0"/>
          <w:sz w:val="32"/>
          <w:szCs w:val="32"/>
        </w:rPr>
      </w:pPr>
      <w:r>
        <w:rPr>
          <w:rFonts w:hint="eastAsia" w:ascii="仿宋_GB2312" w:hAnsi="Times New Roman" w:eastAsia="仿宋_GB2312"/>
          <w:kern w:val="0"/>
          <w:sz w:val="32"/>
          <w:szCs w:val="32"/>
        </w:rPr>
        <w:t>社会保障和就业支出（类）行政事业单位养老支出（款）机关事业单位职业年金缴费支出（项）：反映机关事业单位实施养老保险制度由单位实际缴纳的职业年金支出。</w:t>
      </w:r>
    </w:p>
    <w:p>
      <w:pPr>
        <w:numPr>
          <w:ilvl w:val="0"/>
          <w:numId w:val="2"/>
        </w:numPr>
        <w:tabs>
          <w:tab w:val="right" w:pos="8306"/>
        </w:tabs>
        <w:spacing w:line="600" w:lineRule="exact"/>
        <w:ind w:left="0" w:leftChars="0" w:firstLine="400" w:firstLineChars="0"/>
        <w:rPr>
          <w:rFonts w:hint="eastAsia" w:ascii="仿宋_GB2312" w:hAnsi="Times New Roman" w:eastAsia="仿宋_GB2312"/>
          <w:sz w:val="32"/>
          <w:szCs w:val="32"/>
        </w:rPr>
      </w:pPr>
      <w:r>
        <w:rPr>
          <w:rFonts w:hint="eastAsia" w:ascii="仿宋_GB2312" w:hAnsi="Times New Roman" w:eastAsia="仿宋_GB2312"/>
          <w:sz w:val="32"/>
          <w:szCs w:val="32"/>
        </w:rPr>
        <w:t>社会保障和就业支出（类）就业补助（款）其他就业补助支出（项）：反映除上述项目以外按规定确定的其他用于促进就业的补助支出。</w:t>
      </w:r>
    </w:p>
    <w:p>
      <w:pPr>
        <w:numPr>
          <w:ilvl w:val="0"/>
          <w:numId w:val="2"/>
        </w:numPr>
        <w:autoSpaceDE w:val="0"/>
        <w:autoSpaceDN w:val="0"/>
        <w:adjustRightInd w:val="0"/>
        <w:spacing w:line="560" w:lineRule="exact"/>
        <w:ind w:left="0" w:leftChars="0" w:firstLine="400" w:firstLineChars="0"/>
        <w:rPr>
          <w:rFonts w:hint="eastAsia" w:ascii="仿宋_GB2312" w:eastAsia="仿宋_GB2312" w:cs="仿宋"/>
          <w:sz w:val="32"/>
          <w:szCs w:val="32"/>
        </w:rPr>
      </w:pPr>
      <w:r>
        <w:rPr>
          <w:rFonts w:hint="eastAsia" w:ascii="仿宋_GB2312" w:eastAsia="仿宋_GB2312" w:cs="仿宋"/>
          <w:sz w:val="32"/>
          <w:szCs w:val="32"/>
        </w:rPr>
        <w:t>医疗卫生与计划生育支出（类）行政事业单位医疗（款）行政单位医疗（项）：反映财政部门集中安排的行政单位基本医疗保险缴费经费、未参加医疗保险的行政单位公费医疗经费，按国家规定享受离退休人员、红军老战士待遇人员的医疗经费。</w:t>
      </w:r>
    </w:p>
    <w:p>
      <w:pPr>
        <w:pStyle w:val="17"/>
        <w:numPr>
          <w:ilvl w:val="0"/>
          <w:numId w:val="2"/>
        </w:numPr>
        <w:spacing w:line="560" w:lineRule="exact"/>
        <w:ind w:left="0" w:leftChars="0" w:firstLine="400" w:firstLineChars="0"/>
        <w:rPr>
          <w:rFonts w:hint="eastAsia"/>
        </w:rPr>
      </w:pPr>
      <w:r>
        <w:rPr>
          <w:rFonts w:hint="eastAsia" w:ascii="仿宋_GB2312" w:eastAsia="仿宋_GB2312"/>
          <w:sz w:val="32"/>
          <w:szCs w:val="32"/>
        </w:rPr>
        <w:t>农林水支出（类）</w:t>
      </w:r>
      <w:r>
        <w:rPr>
          <w:rFonts w:hint="eastAsia" w:ascii="仿宋_GB2312" w:eastAsia="仿宋_GB2312"/>
          <w:sz w:val="32"/>
          <w:szCs w:val="32"/>
          <w:lang w:val="en-US" w:eastAsia="zh-CN"/>
        </w:rPr>
        <w:t>巩固脱贫攻坚成果衔接乡村振兴</w:t>
      </w:r>
      <w:r>
        <w:rPr>
          <w:rFonts w:hint="eastAsia" w:ascii="仿宋_GB2312" w:eastAsia="仿宋_GB2312"/>
          <w:sz w:val="32"/>
          <w:szCs w:val="32"/>
        </w:rPr>
        <w:t>（款）</w:t>
      </w:r>
      <w:r>
        <w:rPr>
          <w:rFonts w:hint="eastAsia" w:ascii="仿宋_GB2312" w:eastAsia="仿宋_GB2312"/>
          <w:sz w:val="32"/>
          <w:szCs w:val="32"/>
          <w:lang w:val="en-US" w:eastAsia="zh-CN"/>
        </w:rPr>
        <w:t>其他巩固脱贫攻坚成果衔接乡村振兴支出</w:t>
      </w:r>
      <w:r>
        <w:rPr>
          <w:rFonts w:hint="eastAsia" w:ascii="仿宋_GB2312" w:eastAsia="仿宋_GB2312"/>
          <w:sz w:val="32"/>
          <w:szCs w:val="32"/>
        </w:rPr>
        <w:t>（项）</w:t>
      </w:r>
      <w:r>
        <w:rPr>
          <w:rFonts w:hint="eastAsia" w:ascii="仿宋_GB2312" w:eastAsia="仿宋_GB2312"/>
          <w:sz w:val="32"/>
          <w:szCs w:val="32"/>
          <w:lang w:eastAsia="zh-CN"/>
        </w:rPr>
        <w:t>：</w:t>
      </w:r>
      <w:r>
        <w:rPr>
          <w:rFonts w:hint="eastAsia" w:ascii="仿宋_GB2312" w:eastAsia="仿宋_GB2312"/>
          <w:sz w:val="32"/>
          <w:szCs w:val="32"/>
          <w:lang w:val="en-US" w:eastAsia="zh-CN"/>
        </w:rPr>
        <w:t>反映除上述项目以外其他用于巩固拓展脱贫攻坚成果同乡村振兴有效衔接方面的支出。</w:t>
      </w:r>
    </w:p>
    <w:p>
      <w:pPr>
        <w:numPr>
          <w:ilvl w:val="0"/>
          <w:numId w:val="2"/>
        </w:numPr>
        <w:autoSpaceDE w:val="0"/>
        <w:autoSpaceDN w:val="0"/>
        <w:adjustRightInd w:val="0"/>
        <w:spacing w:line="560" w:lineRule="exact"/>
        <w:ind w:left="0" w:leftChars="0" w:firstLine="400" w:firstLineChars="0"/>
        <w:rPr>
          <w:rFonts w:hint="eastAsia" w:ascii="仿宋_GB2312" w:eastAsia="仿宋_GB2312" w:cs="仿宋"/>
          <w:sz w:val="32"/>
          <w:szCs w:val="32"/>
        </w:rPr>
      </w:pPr>
      <w:r>
        <w:rPr>
          <w:rFonts w:hint="eastAsia" w:ascii="仿宋_GB2312" w:eastAsia="仿宋_GB2312" w:cs="仿宋"/>
          <w:sz w:val="32"/>
          <w:szCs w:val="32"/>
        </w:rPr>
        <w:t>农林水支出（类）普惠金融发展支出（款）创业担保贷款贴息（项）：反映财政用于符合条件的人员从事微利项目创业担保贷款的贴息支出。</w:t>
      </w:r>
    </w:p>
    <w:p>
      <w:pPr>
        <w:numPr>
          <w:ilvl w:val="0"/>
          <w:numId w:val="2"/>
        </w:numPr>
        <w:autoSpaceDE w:val="0"/>
        <w:autoSpaceDN w:val="0"/>
        <w:adjustRightInd w:val="0"/>
        <w:spacing w:line="560" w:lineRule="exact"/>
        <w:ind w:left="0" w:leftChars="0" w:firstLine="400" w:firstLineChars="0"/>
        <w:rPr>
          <w:rFonts w:hint="eastAsia" w:ascii="仿宋_GB2312" w:eastAsia="仿宋_GB2312" w:cs="仿宋"/>
          <w:sz w:val="32"/>
          <w:szCs w:val="32"/>
        </w:rPr>
      </w:pPr>
      <w:r>
        <w:rPr>
          <w:rFonts w:hint="eastAsia" w:ascii="仿宋_GB2312" w:eastAsia="仿宋_GB2312" w:cs="仿宋"/>
          <w:sz w:val="32"/>
          <w:szCs w:val="32"/>
        </w:rPr>
        <w:t>住房保障支出（类）住房改革支出（款）住房公积金（项）：反映行政事业单位按人力资源和社会保障部、财政部规定的基本工资和津贴补贴以及规定比例为职工缴纳的住房公积金。</w:t>
      </w:r>
    </w:p>
    <w:p>
      <w:pPr>
        <w:numPr>
          <w:ilvl w:val="0"/>
          <w:numId w:val="2"/>
        </w:numPr>
        <w:ind w:left="0" w:leftChars="0" w:firstLine="400" w:firstLineChars="0"/>
        <w:rPr>
          <w:rFonts w:ascii="仿宋_GB2312" w:hAnsi="Times New Roman" w:eastAsia="仿宋_GB2312"/>
          <w:sz w:val="32"/>
          <w:szCs w:val="32"/>
        </w:rPr>
      </w:pPr>
      <w:r>
        <w:rPr>
          <w:rFonts w:hint="eastAsia" w:ascii="仿宋_GB2312" w:hAnsi="Times New Roman" w:eastAsia="仿宋_GB2312"/>
          <w:sz w:val="32"/>
          <w:szCs w:val="32"/>
        </w:rPr>
        <w:t>基本支出：指为保障机构正常运转、完成日常工作任务而发生的人员支出和公用支出。</w:t>
      </w:r>
    </w:p>
    <w:p>
      <w:pPr>
        <w:numPr>
          <w:ilvl w:val="0"/>
          <w:numId w:val="2"/>
        </w:numPr>
        <w:ind w:left="0" w:leftChars="0" w:firstLine="400" w:firstLineChars="0"/>
        <w:rPr>
          <w:rFonts w:ascii="仿宋_GB2312" w:hAnsi="Times New Roman" w:eastAsia="仿宋_GB2312"/>
          <w:sz w:val="32"/>
          <w:szCs w:val="32"/>
        </w:rPr>
      </w:pPr>
      <w:r>
        <w:rPr>
          <w:rFonts w:hint="eastAsia" w:ascii="仿宋_GB2312" w:hAnsi="Times New Roman" w:eastAsia="仿宋_GB2312"/>
          <w:sz w:val="32"/>
          <w:szCs w:val="32"/>
        </w:rPr>
        <w:t>项目支出：指在基本支出之外为完成特定行政任务和事业发展目标所发生的支出。</w:t>
      </w:r>
    </w:p>
    <w:p>
      <w:pPr>
        <w:numPr>
          <w:ilvl w:val="0"/>
          <w:numId w:val="2"/>
        </w:numPr>
        <w:autoSpaceDE w:val="0"/>
        <w:autoSpaceDN w:val="0"/>
        <w:adjustRightInd w:val="0"/>
        <w:spacing w:line="560" w:lineRule="exact"/>
        <w:ind w:left="0" w:leftChars="0" w:firstLine="400" w:firstLineChars="0"/>
        <w:rPr>
          <w:rFonts w:ascii="仿宋_GB2312" w:eastAsia="仿宋_GB2312" w:cs="仿宋"/>
          <w:sz w:val="32"/>
          <w:szCs w:val="32"/>
        </w:rPr>
      </w:pPr>
      <w:r>
        <w:rPr>
          <w:rFonts w:hint="eastAsia" w:ascii="仿宋_GB2312" w:eastAsia="仿宋_GB2312" w:cs="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numPr>
          <w:ilvl w:val="0"/>
          <w:numId w:val="2"/>
        </w:numPr>
        <w:autoSpaceDE w:val="0"/>
        <w:autoSpaceDN w:val="0"/>
        <w:adjustRightInd w:val="0"/>
        <w:spacing w:line="560" w:lineRule="exact"/>
        <w:ind w:left="0" w:leftChars="0" w:firstLine="400" w:firstLineChars="0"/>
        <w:rPr>
          <w:rFonts w:hint="eastAsia" w:ascii="仿宋_GB2312" w:eastAsia="仿宋_GB2312" w:cs="仿宋"/>
          <w:sz w:val="32"/>
          <w:szCs w:val="32"/>
        </w:rPr>
      </w:pPr>
      <w:r>
        <w:rPr>
          <w:rFonts w:hint="eastAsia" w:ascii="仿宋_GB2312" w:eastAsia="仿宋_GB2312" w:cs="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133"/>
    <w:p>
      <w:pPr>
        <w:rPr>
          <w:rFonts w:hint="eastAsia" w:ascii="黑体" w:hAnsi="黑体" w:eastAsia="黑体"/>
          <w:sz w:val="44"/>
          <w:szCs w:val="44"/>
        </w:rPr>
      </w:pPr>
      <w:bookmarkStart w:id="134" w:name="_Toc15230"/>
      <w:bookmarkStart w:id="135" w:name="_Toc17736"/>
      <w:bookmarkStart w:id="136" w:name="_Toc521"/>
      <w:bookmarkStart w:id="137" w:name="_Toc17741"/>
      <w:r>
        <w:rPr>
          <w:rFonts w:hint="eastAsia" w:ascii="黑体" w:hAnsi="黑体" w:eastAsia="黑体"/>
          <w:sz w:val="44"/>
          <w:szCs w:val="44"/>
        </w:rPr>
        <w:br w:type="page"/>
      </w:r>
    </w:p>
    <w:p>
      <w:pPr>
        <w:spacing w:line="600" w:lineRule="exact"/>
        <w:jc w:val="center"/>
        <w:outlineLvl w:val="0"/>
        <w:rPr>
          <w:rFonts w:ascii="仿宋_GB2312" w:hAnsi="仿宋_GB2312" w:eastAsia="仿宋_GB2312" w:cs="仿宋_GB2312"/>
          <w:sz w:val="32"/>
          <w:szCs w:val="32"/>
        </w:rPr>
      </w:pPr>
      <w:r>
        <w:rPr>
          <w:rFonts w:hint="eastAsia" w:ascii="黑体" w:hAnsi="黑体" w:eastAsia="黑体"/>
          <w:sz w:val="44"/>
          <w:szCs w:val="44"/>
        </w:rPr>
        <w:t>第</w:t>
      </w:r>
      <w:r>
        <w:rPr>
          <w:rStyle w:val="11"/>
          <w:rFonts w:hint="eastAsia" w:ascii="黑体" w:hAnsi="黑体" w:eastAsia="黑体"/>
          <w:b w:val="0"/>
        </w:rPr>
        <w:t>四部分 附件</w:t>
      </w:r>
      <w:bookmarkEnd w:id="134"/>
      <w:bookmarkEnd w:id="135"/>
      <w:bookmarkEnd w:id="136"/>
      <w:bookmarkEnd w:id="137"/>
    </w:p>
    <w:tbl>
      <w:tblPr>
        <w:tblStyle w:val="8"/>
        <w:tblW w:w="9526" w:type="dxa"/>
        <w:jc w:val="center"/>
        <w:tblLayout w:type="fixed"/>
        <w:tblCellMar>
          <w:top w:w="0" w:type="dxa"/>
          <w:left w:w="57" w:type="dxa"/>
          <w:bottom w:w="0" w:type="dxa"/>
          <w:right w:w="57" w:type="dxa"/>
        </w:tblCellMar>
      </w:tblPr>
      <w:tblGrid>
        <w:gridCol w:w="880"/>
        <w:gridCol w:w="944"/>
        <w:gridCol w:w="1056"/>
        <w:gridCol w:w="1597"/>
        <w:gridCol w:w="453"/>
        <w:gridCol w:w="143"/>
        <w:gridCol w:w="596"/>
        <w:gridCol w:w="455"/>
        <w:gridCol w:w="141"/>
        <w:gridCol w:w="892"/>
        <w:gridCol w:w="627"/>
        <w:gridCol w:w="1000"/>
        <w:gridCol w:w="742"/>
      </w:tblGrid>
      <w:tr>
        <w:tblPrEx>
          <w:tblCellMar>
            <w:top w:w="0" w:type="dxa"/>
            <w:left w:w="57" w:type="dxa"/>
            <w:bottom w:w="0" w:type="dxa"/>
            <w:right w:w="57" w:type="dxa"/>
          </w:tblCellMar>
        </w:tblPrEx>
        <w:trPr>
          <w:trHeight w:val="407" w:hRule="atLeast"/>
          <w:jc w:val="center"/>
        </w:trPr>
        <w:tc>
          <w:tcPr>
            <w:tcW w:w="4477" w:type="dxa"/>
            <w:gridSpan w:val="4"/>
            <w:tcBorders>
              <w:top w:val="nil"/>
              <w:left w:val="nil"/>
              <w:bottom w:val="nil"/>
              <w:right w:val="nil"/>
            </w:tcBorders>
            <w:noWrap w:val="0"/>
            <w:vAlign w:val="center"/>
          </w:tcPr>
          <w:p>
            <w:pPr>
              <w:widowControl/>
              <w:jc w:val="left"/>
              <w:textAlignment w:val="center"/>
              <w:rPr>
                <w:rFonts w:hint="eastAsia" w:ascii="宋体" w:hAnsi="宋体" w:cs="宋体"/>
                <w:sz w:val="20"/>
                <w:szCs w:val="20"/>
              </w:rPr>
            </w:pPr>
          </w:p>
        </w:tc>
        <w:tc>
          <w:tcPr>
            <w:tcW w:w="453" w:type="dxa"/>
            <w:tcBorders>
              <w:top w:val="nil"/>
              <w:left w:val="nil"/>
              <w:bottom w:val="nil"/>
              <w:right w:val="nil"/>
            </w:tcBorders>
            <w:noWrap w:val="0"/>
            <w:vAlign w:val="center"/>
          </w:tcPr>
          <w:p>
            <w:pPr>
              <w:rPr>
                <w:rFonts w:hint="eastAsia" w:ascii="宋体" w:hAnsi="宋体" w:cs="宋体"/>
                <w:sz w:val="22"/>
                <w:szCs w:val="22"/>
              </w:rPr>
            </w:pPr>
          </w:p>
        </w:tc>
        <w:tc>
          <w:tcPr>
            <w:tcW w:w="2227" w:type="dxa"/>
            <w:gridSpan w:val="5"/>
            <w:tcBorders>
              <w:top w:val="nil"/>
              <w:left w:val="nil"/>
              <w:bottom w:val="nil"/>
              <w:right w:val="nil"/>
            </w:tcBorders>
            <w:noWrap w:val="0"/>
            <w:vAlign w:val="center"/>
          </w:tcPr>
          <w:p>
            <w:pPr>
              <w:rPr>
                <w:rFonts w:hint="eastAsia" w:ascii="宋体" w:hAnsi="宋体" w:cs="宋体"/>
                <w:sz w:val="20"/>
                <w:szCs w:val="20"/>
              </w:rPr>
            </w:pPr>
          </w:p>
        </w:tc>
        <w:tc>
          <w:tcPr>
            <w:tcW w:w="627" w:type="dxa"/>
            <w:tcBorders>
              <w:top w:val="nil"/>
              <w:left w:val="nil"/>
              <w:bottom w:val="nil"/>
              <w:right w:val="nil"/>
            </w:tcBorders>
            <w:noWrap w:val="0"/>
            <w:vAlign w:val="center"/>
          </w:tcPr>
          <w:p>
            <w:pPr>
              <w:rPr>
                <w:rFonts w:hint="eastAsia" w:ascii="宋体" w:hAnsi="宋体" w:cs="宋体"/>
                <w:sz w:val="22"/>
                <w:szCs w:val="22"/>
              </w:rPr>
            </w:pPr>
          </w:p>
        </w:tc>
        <w:tc>
          <w:tcPr>
            <w:tcW w:w="1000" w:type="dxa"/>
            <w:tcBorders>
              <w:top w:val="nil"/>
              <w:left w:val="nil"/>
              <w:bottom w:val="nil"/>
              <w:right w:val="nil"/>
            </w:tcBorders>
            <w:noWrap w:val="0"/>
            <w:vAlign w:val="center"/>
          </w:tcPr>
          <w:p>
            <w:pPr>
              <w:rPr>
                <w:rFonts w:hint="eastAsia" w:ascii="宋体" w:hAnsi="宋体" w:cs="宋体"/>
                <w:sz w:val="22"/>
                <w:szCs w:val="22"/>
              </w:rPr>
            </w:pPr>
          </w:p>
        </w:tc>
        <w:tc>
          <w:tcPr>
            <w:tcW w:w="742" w:type="dxa"/>
            <w:tcBorders>
              <w:top w:val="nil"/>
              <w:left w:val="nil"/>
              <w:bottom w:val="nil"/>
              <w:right w:val="nil"/>
            </w:tcBorders>
            <w:noWrap w:val="0"/>
            <w:vAlign w:val="center"/>
          </w:tcPr>
          <w:p>
            <w:pPr>
              <w:rPr>
                <w:rFonts w:hint="eastAsia" w:ascii="宋体" w:hAnsi="宋体" w:cs="宋体"/>
                <w:sz w:val="22"/>
                <w:szCs w:val="22"/>
              </w:rPr>
            </w:pPr>
          </w:p>
        </w:tc>
      </w:tr>
      <w:tr>
        <w:tblPrEx>
          <w:tblCellMar>
            <w:top w:w="0" w:type="dxa"/>
            <w:left w:w="57" w:type="dxa"/>
            <w:bottom w:w="0" w:type="dxa"/>
            <w:right w:w="57" w:type="dxa"/>
          </w:tblCellMar>
        </w:tblPrEx>
        <w:trPr>
          <w:trHeight w:val="90" w:hRule="atLeast"/>
          <w:jc w:val="center"/>
        </w:trPr>
        <w:tc>
          <w:tcPr>
            <w:tcW w:w="9526" w:type="dxa"/>
            <w:gridSpan w:val="1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30"/>
                <w:szCs w:val="30"/>
              </w:rPr>
            </w:pPr>
            <w:r>
              <w:rPr>
                <w:rFonts w:hint="eastAsia" w:ascii="宋体" w:hAnsi="宋体" w:cs="宋体"/>
                <w:b/>
                <w:kern w:val="0"/>
                <w:sz w:val="30"/>
                <w:szCs w:val="30"/>
                <w:lang w:bidi="ar"/>
              </w:rPr>
              <w:t>部门预算项目支出绩效自评表（2023年度）</w:t>
            </w:r>
          </w:p>
        </w:tc>
      </w:tr>
      <w:tr>
        <w:tblPrEx>
          <w:tblCellMar>
            <w:top w:w="0" w:type="dxa"/>
            <w:left w:w="57" w:type="dxa"/>
            <w:bottom w:w="0" w:type="dxa"/>
            <w:right w:w="57" w:type="dxa"/>
          </w:tblCellMar>
        </w:tblPrEx>
        <w:trPr>
          <w:trHeight w:val="410" w:hRule="atLeast"/>
          <w:jc w:val="center"/>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bookmarkStart w:id="138" w:name="OLE_LINK54" w:colFirst="0" w:colLast="1"/>
            <w:bookmarkStart w:id="139" w:name="OLE_LINK57"/>
            <w:r>
              <w:rPr>
                <w:rFonts w:hint="eastAsia" w:ascii="宋体" w:hAnsi="宋体" w:cs="宋体"/>
                <w:kern w:val="0"/>
                <w:sz w:val="18"/>
                <w:szCs w:val="18"/>
                <w:lang w:bidi="ar"/>
              </w:rPr>
              <w:t>项目名称</w:t>
            </w:r>
          </w:p>
        </w:tc>
        <w:tc>
          <w:tcPr>
            <w:tcW w:w="7702"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val="en-US" w:eastAsia="zh-CN" w:bidi="ar"/>
              </w:rPr>
              <w:t>人员经费</w:t>
            </w:r>
          </w:p>
        </w:tc>
      </w:tr>
      <w:tr>
        <w:tblPrEx>
          <w:tblCellMar>
            <w:top w:w="0" w:type="dxa"/>
            <w:left w:w="57" w:type="dxa"/>
            <w:bottom w:w="0" w:type="dxa"/>
            <w:right w:w="57" w:type="dxa"/>
          </w:tblCellMar>
        </w:tblPrEx>
        <w:trPr>
          <w:trHeight w:val="474" w:hRule="atLeast"/>
          <w:jc w:val="center"/>
        </w:trPr>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30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1033" w:type="dxa"/>
            <w:gridSpan w:val="2"/>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236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57" w:type="dxa"/>
            <w:bottom w:w="0" w:type="dxa"/>
            <w:right w:w="57" w:type="dxa"/>
          </w:tblCellMar>
        </w:tblPrEx>
        <w:trPr>
          <w:trHeight w:val="286" w:hRule="atLeast"/>
          <w:jc w:val="center"/>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94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30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3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57" w:type="dxa"/>
            <w:bottom w:w="0" w:type="dxa"/>
            <w:right w:w="57" w:type="dxa"/>
          </w:tblCellMar>
        </w:tblPrEx>
        <w:trPr>
          <w:trHeight w:val="9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300"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严格执行相关政策，保障工资及时发放、足额发放，预算编制科学合理，减少结余资金。</w:t>
            </w:r>
          </w:p>
        </w:tc>
        <w:tc>
          <w:tcPr>
            <w:tcW w:w="340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严格执行相关政策，保障工资及时发放、足额发放，预算编制科学合理，减少结余资金。</w:t>
            </w:r>
          </w:p>
        </w:tc>
      </w:tr>
      <w:tr>
        <w:tblPrEx>
          <w:tblCellMar>
            <w:top w:w="0" w:type="dxa"/>
            <w:left w:w="57" w:type="dxa"/>
            <w:bottom w:w="0" w:type="dxa"/>
            <w:right w:w="57" w:type="dxa"/>
          </w:tblCellMar>
        </w:tblPrEx>
        <w:trPr>
          <w:trHeight w:val="9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702"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严格执行预算，保障工资及时发放、足额发放。</w:t>
            </w:r>
          </w:p>
        </w:tc>
      </w:tr>
      <w:tr>
        <w:tblPrEx>
          <w:tblCellMar>
            <w:top w:w="0" w:type="dxa"/>
            <w:left w:w="57" w:type="dxa"/>
            <w:bottom w:w="0" w:type="dxa"/>
            <w:right w:w="57" w:type="dxa"/>
          </w:tblCellMar>
        </w:tblPrEx>
        <w:trPr>
          <w:trHeight w:val="361" w:hRule="atLeast"/>
          <w:jc w:val="center"/>
        </w:trPr>
        <w:tc>
          <w:tcPr>
            <w:tcW w:w="88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6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7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57" w:type="dxa"/>
            <w:bottom w:w="0" w:type="dxa"/>
            <w:right w:w="57"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517.18</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579.97</w:t>
            </w:r>
          </w:p>
        </w:tc>
        <w:tc>
          <w:tcPr>
            <w:tcW w:w="16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579.97</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742" w:type="dxa"/>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3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517.18</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579.97</w:t>
            </w:r>
          </w:p>
        </w:tc>
        <w:tc>
          <w:tcPr>
            <w:tcW w:w="16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579.97</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7"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3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86" w:hRule="atLeast"/>
          <w:jc w:val="center"/>
        </w:trPr>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sz w:val="18"/>
                <w:szCs w:val="18"/>
              </w:rPr>
            </w:pPr>
          </w:p>
        </w:tc>
        <w:tc>
          <w:tcPr>
            <w:tcW w:w="944"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056"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i/>
                <w:sz w:val="18"/>
                <w:szCs w:val="18"/>
              </w:rPr>
            </w:pPr>
          </w:p>
        </w:tc>
        <w:tc>
          <w:tcPr>
            <w:tcW w:w="159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i/>
                <w:sz w:val="18"/>
                <w:szCs w:val="18"/>
              </w:rPr>
            </w:pPr>
          </w:p>
        </w:tc>
        <w:tc>
          <w:tcPr>
            <w:tcW w:w="1647" w:type="dxa"/>
            <w:gridSpan w:val="4"/>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i/>
                <w:sz w:val="18"/>
                <w:szCs w:val="18"/>
              </w:rPr>
            </w:pPr>
          </w:p>
        </w:tc>
        <w:tc>
          <w:tcPr>
            <w:tcW w:w="1033" w:type="dxa"/>
            <w:gridSpan w:val="2"/>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cs="宋体"/>
                <w:i/>
                <w:sz w:val="18"/>
                <w:szCs w:val="18"/>
              </w:rPr>
            </w:pPr>
          </w:p>
        </w:tc>
        <w:tc>
          <w:tcPr>
            <w:tcW w:w="62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0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auto"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52" w:hRule="atLeast"/>
          <w:jc w:val="center"/>
        </w:trPr>
        <w:tc>
          <w:tcPr>
            <w:tcW w:w="8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9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9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89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57" w:type="dxa"/>
            <w:bottom w:w="0" w:type="dxa"/>
            <w:right w:w="57" w:type="dxa"/>
          </w:tblCellMar>
        </w:tblPrEx>
        <w:trPr>
          <w:trHeight w:val="92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bookmarkStart w:id="140" w:name="OLE_LINK32" w:colFirst="10" w:colLast="10"/>
            <w:bookmarkStart w:id="141" w:name="OLE_LINK33" w:colFirst="7" w:colLast="8"/>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cs="宋体"/>
                <w:kern w:val="0"/>
                <w:sz w:val="18"/>
                <w:szCs w:val="18"/>
                <w:lang w:bidi="ar"/>
              </w:rPr>
            </w:pPr>
          </w:p>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数量指标</w:t>
            </w:r>
          </w:p>
          <w:p>
            <w:pPr>
              <w:widowControl/>
              <w:jc w:val="center"/>
              <w:textAlignment w:val="center"/>
              <w:rPr>
                <w:rFonts w:hint="eastAsia" w:ascii="宋体" w:hAnsi="宋体" w:cs="宋体"/>
                <w:kern w:val="0"/>
                <w:sz w:val="18"/>
                <w:szCs w:val="18"/>
                <w:lang w:bidi="ar"/>
              </w:rPr>
            </w:pPr>
          </w:p>
        </w:tc>
        <w:tc>
          <w:tcPr>
            <w:tcW w:w="1597"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发放（缴纳）覆盖率</w:t>
            </w:r>
          </w:p>
        </w:tc>
        <w:tc>
          <w:tcPr>
            <w:tcW w:w="596" w:type="dxa"/>
            <w:gridSpan w:val="2"/>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596"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100</w:t>
            </w:r>
          </w:p>
        </w:tc>
        <w:tc>
          <w:tcPr>
            <w:tcW w:w="596" w:type="dxa"/>
            <w:gridSpan w:val="2"/>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892"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kern w:val="0"/>
                <w:sz w:val="18"/>
                <w:szCs w:val="18"/>
                <w:lang w:bidi="ar"/>
              </w:rPr>
            </w:pPr>
            <w:r>
              <w:rPr>
                <w:rFonts w:hint="eastAsia" w:ascii="宋体" w:hAnsi="宋体" w:cs="宋体"/>
                <w:kern w:val="0"/>
                <w:sz w:val="18"/>
                <w:szCs w:val="18"/>
                <w:lang w:bidi="ar"/>
              </w:rPr>
              <w:t>100</w:t>
            </w:r>
          </w:p>
        </w:tc>
        <w:tc>
          <w:tcPr>
            <w:tcW w:w="627"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60</w:t>
            </w:r>
          </w:p>
        </w:tc>
        <w:tc>
          <w:tcPr>
            <w:tcW w:w="1000" w:type="dxa"/>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sz w:val="18"/>
                <w:szCs w:val="18"/>
              </w:rPr>
              <w:t>60</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sz w:val="18"/>
                <w:szCs w:val="18"/>
              </w:rPr>
            </w:pPr>
          </w:p>
        </w:tc>
      </w:tr>
      <w:bookmarkEnd w:id="140"/>
      <w:bookmarkEnd w:id="141"/>
      <w:tr>
        <w:tblPrEx>
          <w:tblCellMar>
            <w:top w:w="0" w:type="dxa"/>
            <w:left w:w="57" w:type="dxa"/>
            <w:bottom w:w="0" w:type="dxa"/>
            <w:right w:w="57" w:type="dxa"/>
          </w:tblCellMar>
        </w:tblPrEx>
        <w:trPr>
          <w:trHeight w:val="339"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 w:val="18"/>
                <w:szCs w:val="18"/>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05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社会效益指标</w:t>
            </w:r>
          </w:p>
        </w:tc>
        <w:tc>
          <w:tcPr>
            <w:tcW w:w="159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足额保障率</w:t>
            </w:r>
          </w:p>
        </w:tc>
        <w:tc>
          <w:tcPr>
            <w:tcW w:w="59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9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9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18"/>
                <w:szCs w:val="18"/>
                <w:lang w:bidi="ar"/>
              </w:rPr>
            </w:pPr>
            <w:r>
              <w:rPr>
                <w:rFonts w:hint="eastAsia" w:ascii="宋体" w:hAnsi="宋体" w:cs="宋体"/>
                <w:kern w:val="0"/>
                <w:sz w:val="18"/>
                <w:szCs w:val="18"/>
                <w:lang w:bidi="ar"/>
              </w:rPr>
              <w:t>0</w:t>
            </w:r>
          </w:p>
        </w:tc>
        <w:tc>
          <w:tcPr>
            <w:tcW w:w="62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w:t>
            </w:r>
          </w:p>
        </w:tc>
        <w:tc>
          <w:tcPr>
            <w:tcW w:w="100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sz w:val="18"/>
                <w:szCs w:val="18"/>
              </w:rPr>
              <w:t>30</w:t>
            </w:r>
          </w:p>
        </w:tc>
        <w:tc>
          <w:tcPr>
            <w:tcW w:w="7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i/>
                <w:sz w:val="18"/>
                <w:szCs w:val="18"/>
              </w:rPr>
            </w:pPr>
          </w:p>
        </w:tc>
      </w:tr>
      <w:tr>
        <w:tblPrEx>
          <w:tblCellMar>
            <w:top w:w="0" w:type="dxa"/>
            <w:left w:w="57" w:type="dxa"/>
            <w:bottom w:w="0" w:type="dxa"/>
            <w:right w:w="57" w:type="dxa"/>
          </w:tblCellMar>
        </w:tblPrEx>
        <w:trPr>
          <w:trHeight w:val="286" w:hRule="atLeast"/>
          <w:jc w:val="center"/>
        </w:trPr>
        <w:tc>
          <w:tcPr>
            <w:tcW w:w="7157" w:type="dxa"/>
            <w:gridSpan w:val="10"/>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62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1000"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sz w:val="18"/>
                <w:szCs w:val="18"/>
              </w:rPr>
              <w:t>100</w:t>
            </w:r>
          </w:p>
        </w:tc>
        <w:tc>
          <w:tcPr>
            <w:tcW w:w="742" w:type="dxa"/>
            <w:tcBorders>
              <w:top w:val="single" w:color="auto"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57" w:type="dxa"/>
            <w:bottom w:w="0" w:type="dxa"/>
            <w:right w:w="57" w:type="dxa"/>
          </w:tblCellMar>
        </w:tblPrEx>
        <w:trPr>
          <w:trHeight w:val="510"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64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严格执行预算，保障工资及时发放、足额发放。</w:t>
            </w:r>
          </w:p>
        </w:tc>
      </w:tr>
      <w:tr>
        <w:tblPrEx>
          <w:tblCellMar>
            <w:top w:w="0" w:type="dxa"/>
            <w:left w:w="57" w:type="dxa"/>
            <w:bottom w:w="0" w:type="dxa"/>
            <w:right w:w="57" w:type="dxa"/>
          </w:tblCellMar>
        </w:tblPrEx>
        <w:trPr>
          <w:trHeight w:val="510"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64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测算准确率有待提高。</w:t>
            </w:r>
          </w:p>
        </w:tc>
      </w:tr>
      <w:bookmarkEnd w:id="138"/>
      <w:tr>
        <w:tblPrEx>
          <w:tblCellMar>
            <w:top w:w="0" w:type="dxa"/>
            <w:left w:w="57" w:type="dxa"/>
            <w:bottom w:w="0" w:type="dxa"/>
            <w:right w:w="57" w:type="dxa"/>
          </w:tblCellMar>
        </w:tblPrEx>
        <w:trPr>
          <w:trHeight w:val="510" w:hRule="atLeast"/>
          <w:jc w:val="center"/>
        </w:trPr>
        <w:tc>
          <w:tcPr>
            <w:tcW w:w="8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646" w:type="dxa"/>
            <w:gridSpan w:val="1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加强绩效自评工作力度，细化项目测算，完善绩效指标，积极运用评价结果，提高资金使用效率。</w:t>
            </w:r>
          </w:p>
        </w:tc>
      </w:tr>
    </w:tbl>
    <w:p/>
    <w:bookmarkEnd w:id="139"/>
    <w:tbl>
      <w:tblPr>
        <w:tblStyle w:val="8"/>
        <w:tblW w:w="9550" w:type="dxa"/>
        <w:jc w:val="center"/>
        <w:tblLayout w:type="fixed"/>
        <w:tblCellMar>
          <w:top w:w="0" w:type="dxa"/>
          <w:left w:w="57" w:type="dxa"/>
          <w:bottom w:w="0" w:type="dxa"/>
          <w:right w:w="57" w:type="dxa"/>
        </w:tblCellMar>
      </w:tblPr>
      <w:tblGrid>
        <w:gridCol w:w="874"/>
        <w:gridCol w:w="962"/>
        <w:gridCol w:w="1049"/>
        <w:gridCol w:w="1586"/>
        <w:gridCol w:w="557"/>
        <w:gridCol w:w="546"/>
        <w:gridCol w:w="547"/>
        <w:gridCol w:w="1026"/>
        <w:gridCol w:w="623"/>
        <w:gridCol w:w="932"/>
        <w:gridCol w:w="848"/>
      </w:tblGrid>
      <w:tr>
        <w:tblPrEx>
          <w:tblCellMar>
            <w:top w:w="0" w:type="dxa"/>
            <w:left w:w="57" w:type="dxa"/>
            <w:bottom w:w="0" w:type="dxa"/>
            <w:right w:w="57" w:type="dxa"/>
          </w:tblCellMar>
        </w:tblPrEx>
        <w:trPr>
          <w:trHeight w:val="528" w:hRule="atLeast"/>
          <w:jc w:val="center"/>
        </w:trPr>
        <w:tc>
          <w:tcPr>
            <w:tcW w:w="9550" w:type="dxa"/>
            <w:gridSpan w:val="11"/>
            <w:tcBorders>
              <w:bottom w:val="single" w:color="000000" w:sz="4" w:space="0"/>
            </w:tcBorders>
            <w:noWrap w:val="0"/>
            <w:vAlign w:val="center"/>
          </w:tcPr>
          <w:p>
            <w:pPr>
              <w:widowControl/>
              <w:jc w:val="center"/>
              <w:textAlignment w:val="center"/>
              <w:rPr>
                <w:rFonts w:hint="eastAsia" w:ascii="宋体" w:hAnsi="宋体" w:cs="宋体"/>
                <w:b/>
                <w:sz w:val="30"/>
                <w:szCs w:val="30"/>
              </w:rPr>
            </w:pPr>
            <w:r>
              <w:rPr>
                <w:rFonts w:hint="eastAsia" w:ascii="宋体" w:hAnsi="宋体" w:cs="宋体"/>
                <w:b/>
                <w:kern w:val="0"/>
                <w:sz w:val="30"/>
                <w:szCs w:val="30"/>
                <w:lang w:bidi="ar"/>
              </w:rPr>
              <w:t>部门预算项目支出绩效自评表（2023年度）</w:t>
            </w:r>
          </w:p>
        </w:tc>
      </w:tr>
      <w:tr>
        <w:tblPrEx>
          <w:tblCellMar>
            <w:top w:w="0" w:type="dxa"/>
            <w:left w:w="57" w:type="dxa"/>
            <w:bottom w:w="0" w:type="dxa"/>
            <w:right w:w="57" w:type="dxa"/>
          </w:tblCellMar>
        </w:tblPrEx>
        <w:trPr>
          <w:trHeight w:val="286" w:hRule="atLeast"/>
          <w:jc w:val="center"/>
        </w:trPr>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bookmarkStart w:id="142" w:name="OLE_LINK56" w:colFirst="0" w:colLast="10"/>
            <w:r>
              <w:rPr>
                <w:rFonts w:hint="eastAsia" w:ascii="宋体" w:hAnsi="宋体" w:cs="宋体"/>
                <w:kern w:val="0"/>
                <w:sz w:val="18"/>
                <w:szCs w:val="18"/>
                <w:lang w:bidi="ar"/>
              </w:rPr>
              <w:t>项目名称</w:t>
            </w:r>
          </w:p>
        </w:tc>
        <w:tc>
          <w:tcPr>
            <w:tcW w:w="771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cs="宋体"/>
                <w:kern w:val="0"/>
                <w:sz w:val="18"/>
                <w:szCs w:val="18"/>
                <w:lang w:bidi="ar"/>
              </w:rPr>
              <w:t>公用经费</w:t>
            </w:r>
          </w:p>
        </w:tc>
      </w:tr>
      <w:tr>
        <w:tblPrEx>
          <w:tblCellMar>
            <w:top w:w="0" w:type="dxa"/>
            <w:left w:w="57" w:type="dxa"/>
            <w:bottom w:w="0" w:type="dxa"/>
            <w:right w:w="57" w:type="dxa"/>
          </w:tblCellMar>
        </w:tblPrEx>
        <w:trPr>
          <w:trHeight w:val="512" w:hRule="atLeast"/>
          <w:jc w:val="center"/>
        </w:trPr>
        <w:tc>
          <w:tcPr>
            <w:tcW w:w="183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1026" w:type="dxa"/>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240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57" w:type="dxa"/>
            <w:bottom w:w="0" w:type="dxa"/>
            <w:right w:w="57" w:type="dxa"/>
          </w:tblCellMar>
        </w:tblPrEx>
        <w:trPr>
          <w:trHeight w:val="286"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9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34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57" w:type="dxa"/>
            <w:bottom w:w="0" w:type="dxa"/>
            <w:right w:w="57" w:type="dxa"/>
          </w:tblCellMar>
        </w:tblPrEx>
        <w:trPr>
          <w:trHeight w:val="79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sz w:val="18"/>
                <w:szCs w:val="18"/>
              </w:rPr>
            </w:pPr>
          </w:p>
        </w:tc>
        <w:tc>
          <w:tcPr>
            <w:tcW w:w="4285"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保障单位日常运转，提高预算编制质量，严格执行预算</w:t>
            </w:r>
          </w:p>
        </w:tc>
        <w:tc>
          <w:tcPr>
            <w:tcW w:w="3429"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保障单位日常运转，提高预算编制质量，严格执行预算</w:t>
            </w:r>
          </w:p>
        </w:tc>
      </w:tr>
      <w:tr>
        <w:tblPrEx>
          <w:tblCellMar>
            <w:top w:w="0" w:type="dxa"/>
            <w:left w:w="57" w:type="dxa"/>
            <w:bottom w:w="0" w:type="dxa"/>
            <w:right w:w="57"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714"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严格执行预算，保障单位日常运转，提高预算编制质量。</w:t>
            </w:r>
          </w:p>
        </w:tc>
      </w:tr>
      <w:tr>
        <w:tblPrEx>
          <w:tblCellMar>
            <w:top w:w="0" w:type="dxa"/>
            <w:left w:w="57" w:type="dxa"/>
            <w:bottom w:w="0" w:type="dxa"/>
            <w:right w:w="57" w:type="dxa"/>
          </w:tblCellMar>
        </w:tblPrEx>
        <w:trPr>
          <w:trHeight w:val="361"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57" w:type="dxa"/>
            <w:bottom w:w="0" w:type="dxa"/>
            <w:right w:w="57"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73.32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74.17</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74.17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84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p>
        </w:tc>
      </w:tr>
      <w:tr>
        <w:tblPrEx>
          <w:tblCellMar>
            <w:top w:w="0" w:type="dxa"/>
            <w:left w:w="57" w:type="dxa"/>
            <w:bottom w:w="0" w:type="dxa"/>
            <w:right w:w="57" w:type="dxa"/>
          </w:tblCellMar>
        </w:tblPrEx>
        <w:trPr>
          <w:trHeight w:val="43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73.32</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74.17</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74.17</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3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165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57" w:type="dxa"/>
            <w:bottom w:w="0" w:type="dxa"/>
            <w:right w:w="57" w:type="dxa"/>
          </w:tblCellMar>
        </w:tblPrEx>
        <w:trPr>
          <w:trHeight w:val="452" w:hRule="atLeast"/>
          <w:jc w:val="center"/>
        </w:trPr>
        <w:tc>
          <w:tcPr>
            <w:tcW w:w="87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9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57" w:type="dxa"/>
            <w:bottom w:w="0" w:type="dxa"/>
            <w:right w:w="57"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科目调整次数</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Cs/>
                <w:sz w:val="18"/>
                <w:szCs w:val="18"/>
              </w:rPr>
            </w:pPr>
            <w:r>
              <w:rPr>
                <w:rFonts w:hint="eastAsia" w:ascii="宋体" w:hAnsi="宋体" w:cs="宋体"/>
                <w:iCs/>
                <w:sz w:val="18"/>
                <w:szCs w:val="18"/>
              </w:rPr>
              <w:t>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57" w:type="dxa"/>
            <w:bottom w:w="0" w:type="dxa"/>
            <w:right w:w="57"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质量指标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预算编制准确率（计算方法为：∣（执行数-预算数）/预算数∣）</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Cs/>
                <w:kern w:val="0"/>
                <w:sz w:val="18"/>
                <w:szCs w:val="18"/>
                <w:lang w:bidi="ar"/>
              </w:rPr>
            </w:pPr>
            <w:r>
              <w:rPr>
                <w:rFonts w:hint="eastAsia" w:ascii="宋体" w:hAnsi="宋体" w:cs="宋体"/>
                <w:iCs/>
                <w:kern w:val="0"/>
                <w:sz w:val="18"/>
                <w:szCs w:val="18"/>
                <w:lang w:bidi="ar"/>
              </w:rPr>
              <w:t>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22.5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22.5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57" w:type="dxa"/>
            <w:bottom w:w="0" w:type="dxa"/>
            <w:right w:w="57"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6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0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经济效益指标</w:t>
            </w: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运转保障率</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Cs/>
                <w:sz w:val="18"/>
                <w:szCs w:val="18"/>
              </w:rPr>
            </w:pPr>
            <w:r>
              <w:rPr>
                <w:rFonts w:hint="eastAsia" w:ascii="宋体" w:hAnsi="宋体" w:cs="宋体"/>
                <w:iCs/>
                <w:sz w:val="18"/>
                <w:szCs w:val="18"/>
              </w:rPr>
              <w:t>100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57" w:type="dxa"/>
            <w:bottom w:w="0" w:type="dxa"/>
            <w:right w:w="57"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c>
          <w:tcPr>
            <w:tcW w:w="0" w:type="auto"/>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c>
          <w:tcPr>
            <w:tcW w:w="15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8"/>
                <w:sz w:val="18"/>
                <w:szCs w:val="18"/>
              </w:rPr>
            </w:pPr>
            <w:r>
              <w:rPr>
                <w:rFonts w:hint="eastAsia" w:ascii="宋体" w:hAnsi="宋体" w:cs="宋体"/>
                <w:spacing w:val="-8"/>
                <w:kern w:val="0"/>
                <w:sz w:val="18"/>
                <w:szCs w:val="18"/>
                <w:lang w:bidi="ar"/>
              </w:rPr>
              <w:t>“三公经费”控制率[计算方法为：（三公经费实际支出数/预算安排数]×100%）</w:t>
            </w:r>
          </w:p>
        </w:tc>
        <w:tc>
          <w:tcPr>
            <w:tcW w:w="55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Cs/>
                <w:sz w:val="18"/>
                <w:szCs w:val="18"/>
              </w:rPr>
            </w:pPr>
            <w:r>
              <w:rPr>
                <w:rFonts w:hint="eastAsia" w:ascii="宋体" w:hAnsi="宋体" w:cs="宋体"/>
                <w:iCs/>
                <w:sz w:val="18"/>
                <w:szCs w:val="18"/>
              </w:rPr>
              <w:t>0</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22.5</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bookmarkEnd w:id="142"/>
      <w:tr>
        <w:tblPrEx>
          <w:tblCellMar>
            <w:top w:w="0" w:type="dxa"/>
            <w:left w:w="57" w:type="dxa"/>
            <w:bottom w:w="0" w:type="dxa"/>
            <w:right w:w="57" w:type="dxa"/>
          </w:tblCellMar>
        </w:tblPrEx>
        <w:trPr>
          <w:trHeight w:val="286" w:hRule="atLeast"/>
          <w:jc w:val="center"/>
        </w:trPr>
        <w:tc>
          <w:tcPr>
            <w:tcW w:w="714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bookmarkStart w:id="143" w:name="OLE_LINK60" w:colFirst="1" w:colLast="2"/>
            <w:r>
              <w:rPr>
                <w:rFonts w:hint="eastAsia" w:ascii="宋体" w:hAnsi="宋体" w:cs="宋体"/>
                <w:kern w:val="0"/>
                <w:sz w:val="18"/>
                <w:szCs w:val="18"/>
                <w:lang w:bidi="ar"/>
              </w:rPr>
              <w:t>合计</w:t>
            </w:r>
          </w:p>
        </w:tc>
        <w:tc>
          <w:tcPr>
            <w:tcW w:w="6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9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sz w:val="18"/>
                <w:szCs w:val="18"/>
              </w:rPr>
              <w:t>100</w:t>
            </w:r>
          </w:p>
        </w:tc>
        <w:tc>
          <w:tcPr>
            <w:tcW w:w="84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bookmarkEnd w:id="143"/>
      <w:tr>
        <w:tblPrEx>
          <w:tblCellMar>
            <w:top w:w="0" w:type="dxa"/>
            <w:left w:w="57" w:type="dxa"/>
            <w:bottom w:w="0" w:type="dxa"/>
            <w:right w:w="57" w:type="dxa"/>
          </w:tblCellMar>
        </w:tblPrEx>
        <w:trPr>
          <w:trHeight w:val="435"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67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严格执行预算，保障单位日常运转，提高预算编制质量。</w:t>
            </w:r>
          </w:p>
        </w:tc>
      </w:tr>
      <w:tr>
        <w:tblPrEx>
          <w:tblCellMar>
            <w:top w:w="0" w:type="dxa"/>
            <w:left w:w="57" w:type="dxa"/>
            <w:bottom w:w="0" w:type="dxa"/>
            <w:right w:w="57" w:type="dxa"/>
          </w:tblCellMar>
        </w:tblPrEx>
        <w:trPr>
          <w:trHeight w:val="435"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67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项目测算准确率有待提高</w:t>
            </w:r>
          </w:p>
        </w:tc>
      </w:tr>
      <w:tr>
        <w:tblPrEx>
          <w:tblCellMar>
            <w:top w:w="0" w:type="dxa"/>
            <w:left w:w="57" w:type="dxa"/>
            <w:bottom w:w="0" w:type="dxa"/>
            <w:right w:w="57" w:type="dxa"/>
          </w:tblCellMar>
        </w:tblPrEx>
        <w:trPr>
          <w:trHeight w:val="435" w:hRule="atLeast"/>
          <w:jc w:val="center"/>
        </w:trPr>
        <w:tc>
          <w:tcPr>
            <w:tcW w:w="8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676"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加强绩效自评工作力度，细化项目测算，完善绩效指标，积极运用评价结果，提高资金使用效率。</w:t>
            </w:r>
          </w:p>
        </w:tc>
      </w:tr>
    </w:tbl>
    <w:p/>
    <w:tbl>
      <w:tblPr>
        <w:tblStyle w:val="8"/>
        <w:tblW w:w="9587" w:type="dxa"/>
        <w:jc w:val="center"/>
        <w:tblLayout w:type="fixed"/>
        <w:tblCellMar>
          <w:top w:w="0" w:type="dxa"/>
          <w:left w:w="28" w:type="dxa"/>
          <w:bottom w:w="0" w:type="dxa"/>
          <w:right w:w="28" w:type="dxa"/>
        </w:tblCellMar>
      </w:tblPr>
      <w:tblGrid>
        <w:gridCol w:w="687"/>
        <w:gridCol w:w="1160"/>
        <w:gridCol w:w="1219"/>
        <w:gridCol w:w="1522"/>
        <w:gridCol w:w="471"/>
        <w:gridCol w:w="728"/>
        <w:gridCol w:w="457"/>
        <w:gridCol w:w="1506"/>
        <w:gridCol w:w="486"/>
        <w:gridCol w:w="486"/>
        <w:gridCol w:w="865"/>
      </w:tblGrid>
      <w:tr>
        <w:tblPrEx>
          <w:tblCellMar>
            <w:top w:w="0" w:type="dxa"/>
            <w:left w:w="28" w:type="dxa"/>
            <w:bottom w:w="0" w:type="dxa"/>
            <w:right w:w="28" w:type="dxa"/>
          </w:tblCellMar>
        </w:tblPrEx>
        <w:trPr>
          <w:trHeight w:val="620" w:hRule="atLeast"/>
          <w:jc w:val="center"/>
        </w:trPr>
        <w:tc>
          <w:tcPr>
            <w:tcW w:w="9587"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spacing w:line="340" w:lineRule="exact"/>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项目名称</w:t>
            </w:r>
          </w:p>
        </w:tc>
        <w:tc>
          <w:tcPr>
            <w:tcW w:w="774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51080021T000000055959-失业人员档案管理经费</w:t>
            </w:r>
          </w:p>
        </w:tc>
      </w:tr>
      <w:tr>
        <w:tblPrEx>
          <w:tblCellMar>
            <w:top w:w="0" w:type="dxa"/>
            <w:left w:w="28" w:type="dxa"/>
            <w:bottom w:w="0" w:type="dxa"/>
            <w:right w:w="28" w:type="dxa"/>
          </w:tblCellMar>
        </w:tblPrEx>
        <w:trPr>
          <w:trHeight w:val="514"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主管部门</w:t>
            </w:r>
          </w:p>
        </w:tc>
        <w:tc>
          <w:tcPr>
            <w:tcW w:w="43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广元市人力资源和社会保障局部门</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实施单位     （盖章）</w:t>
            </w:r>
          </w:p>
        </w:tc>
        <w:tc>
          <w:tcPr>
            <w:tcW w:w="1837"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项目基本情况</w:t>
            </w:r>
          </w:p>
        </w:tc>
        <w:tc>
          <w:tcPr>
            <w:tcW w:w="11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1.项目年度目标完成情况</w:t>
            </w:r>
          </w:p>
        </w:tc>
        <w:tc>
          <w:tcPr>
            <w:tcW w:w="43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项目年度目标</w:t>
            </w:r>
          </w:p>
        </w:tc>
        <w:tc>
          <w:tcPr>
            <w:tcW w:w="33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1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sz w:val="18"/>
                <w:szCs w:val="18"/>
              </w:rPr>
            </w:pPr>
          </w:p>
        </w:tc>
        <w:tc>
          <w:tcPr>
            <w:tcW w:w="4397"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高标准开展失业人员档案管理和服务工作，提供档案接收、转递、信息录入、查阅等服务4万人次，档案服务对象满意率达95%以上。按照中省要求，持续加强失业人员档案及档案室管理，确保档案管理服务工作规范安全。</w:t>
            </w:r>
          </w:p>
        </w:tc>
        <w:tc>
          <w:tcPr>
            <w:tcW w:w="3343"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开展失业人员档案管理和服务工作，提供档案接收、转递、信息录入、查阅等服务4万人次，档案服务对象满意率达95%以上。按照中省要求，持续加强失业人员档案及档案室管理，确保档案管理服务工作规范安全。</w:t>
            </w:r>
          </w:p>
        </w:tc>
      </w:tr>
      <w:tr>
        <w:tblPrEx>
          <w:tblCellMar>
            <w:top w:w="0" w:type="dxa"/>
            <w:left w:w="28" w:type="dxa"/>
            <w:bottom w:w="0" w:type="dxa"/>
            <w:right w:w="28" w:type="dxa"/>
          </w:tblCellMar>
        </w:tblPrEx>
        <w:trPr>
          <w:trHeight w:val="6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2.项目实施内容及过程概述</w:t>
            </w:r>
          </w:p>
        </w:tc>
        <w:tc>
          <w:tcPr>
            <w:tcW w:w="774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480"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预算执行情况（10分）</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年度预算数（万元）</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年初预算</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调整后预算数</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预算执行数</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得分</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原因</w:t>
            </w:r>
          </w:p>
        </w:tc>
      </w:tr>
      <w:tr>
        <w:tblPrEx>
          <w:tblCellMar>
            <w:top w:w="0" w:type="dxa"/>
            <w:left w:w="28" w:type="dxa"/>
            <w:bottom w:w="0" w:type="dxa"/>
            <w:right w:w="2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总额</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865"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sz w:val="18"/>
                <w:szCs w:val="18"/>
              </w:rPr>
            </w:pPr>
          </w:p>
        </w:tc>
      </w:tr>
      <w:tr>
        <w:tblPrEx>
          <w:tblCellMar>
            <w:top w:w="0" w:type="dxa"/>
            <w:left w:w="28" w:type="dxa"/>
            <w:bottom w:w="0" w:type="dxa"/>
            <w:right w:w="2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其中：财政资金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sz w:val="18"/>
                <w:szCs w:val="18"/>
              </w:rPr>
              <w:t>2.00</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hint="eastAsia" w:ascii="宋体" w:hAnsi="宋体" w:cs="宋体"/>
                <w:kern w:val="0"/>
                <w:sz w:val="18"/>
                <w:szCs w:val="18"/>
                <w:lang w:bidi="ar"/>
              </w:rPr>
              <w:t>2.00</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sz w:val="18"/>
                <w:szCs w:val="18"/>
              </w:rPr>
            </w:pPr>
          </w:p>
        </w:tc>
      </w:tr>
      <w:tr>
        <w:tblPrEx>
          <w:tblCellMar>
            <w:top w:w="0" w:type="dxa"/>
            <w:left w:w="28" w:type="dxa"/>
            <w:bottom w:w="0" w:type="dxa"/>
            <w:right w:w="28" w:type="dxa"/>
          </w:tblCellMar>
        </w:tblPrEx>
        <w:trPr>
          <w:trHeight w:val="4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财政专户管理资金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单位资金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sz w:val="18"/>
                <w:szCs w:val="18"/>
              </w:rPr>
            </w:pPr>
          </w:p>
        </w:tc>
      </w:tr>
      <w:tr>
        <w:tblPrEx>
          <w:tblCellMar>
            <w:top w:w="0" w:type="dxa"/>
            <w:left w:w="28" w:type="dxa"/>
            <w:bottom w:w="0" w:type="dxa"/>
            <w:right w:w="28" w:type="dxa"/>
          </w:tblCellMar>
        </w:tblPrEx>
        <w:trPr>
          <w:trHeight w:val="41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其他资金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c>
          <w:tcPr>
            <w:tcW w:w="16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left"/>
              <w:rPr>
                <w:rFonts w:hint="eastAsia" w:ascii="宋体" w:hAnsi="宋体" w:cs="宋体"/>
                <w:sz w:val="18"/>
                <w:szCs w:val="18"/>
              </w:rPr>
            </w:pPr>
          </w:p>
        </w:tc>
      </w:tr>
      <w:tr>
        <w:tblPrEx>
          <w:tblCellMar>
            <w:top w:w="0" w:type="dxa"/>
            <w:left w:w="28" w:type="dxa"/>
            <w:bottom w:w="0" w:type="dxa"/>
            <w:right w:w="28" w:type="dxa"/>
          </w:tblCellMar>
        </w:tblPrEx>
        <w:trPr>
          <w:trHeight w:val="454" w:hRule="atLeast"/>
          <w:jc w:val="center"/>
        </w:trPr>
        <w:tc>
          <w:tcPr>
            <w:tcW w:w="6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绩效指标（90分）</w:t>
            </w: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一级指标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二级指标</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三级指标</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指标性质</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指标值</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度量单位</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得分</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未完成原因分析</w:t>
            </w: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产出指标</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数量指标</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失业人员档案整理规范数量</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万件次</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档案室管理规范数量</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个</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档案机要快递</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10000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份</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效益指标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经济效益指标</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档案规范管理工作</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定性</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优良</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级</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优良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满意度指标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服务对象满意度指标</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档案业务办理人员满意度</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95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宋体" w:hAnsi="宋体" w:cs="宋体"/>
                <w:sz w:val="18"/>
                <w:szCs w:val="18"/>
              </w:rPr>
            </w:pPr>
          </w:p>
        </w:tc>
        <w:tc>
          <w:tcPr>
            <w:tcW w:w="11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成本指标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经济成本指标</w:t>
            </w:r>
          </w:p>
        </w:tc>
        <w:tc>
          <w:tcPr>
            <w:tcW w:w="152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失业人员档案管理工作经费</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w:t>
            </w:r>
          </w:p>
        </w:tc>
        <w:tc>
          <w:tcPr>
            <w:tcW w:w="72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万元</w:t>
            </w:r>
          </w:p>
        </w:tc>
        <w:tc>
          <w:tcPr>
            <w:tcW w:w="150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20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285" w:hRule="atLeast"/>
          <w:jc w:val="center"/>
        </w:trPr>
        <w:tc>
          <w:tcPr>
            <w:tcW w:w="775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right"/>
              <w:textAlignment w:val="center"/>
              <w:rPr>
                <w:rFonts w:ascii="宋体" w:hAnsi="宋体" w:cs="宋体"/>
                <w:sz w:val="18"/>
                <w:szCs w:val="18"/>
              </w:rPr>
            </w:pPr>
            <w:r>
              <w:rPr>
                <w:rFonts w:ascii="宋体" w:hAnsi="宋体" w:cs="宋体"/>
                <w:kern w:val="0"/>
                <w:sz w:val="18"/>
                <w:szCs w:val="18"/>
                <w:lang w:bidi="ar"/>
              </w:rPr>
              <w:t>100</w:t>
            </w:r>
          </w:p>
        </w:tc>
        <w:tc>
          <w:tcPr>
            <w:tcW w:w="865"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s="宋体"/>
                <w:sz w:val="18"/>
                <w:szCs w:val="18"/>
              </w:rPr>
            </w:pPr>
          </w:p>
        </w:tc>
      </w:tr>
      <w:tr>
        <w:tblPrEx>
          <w:tblCellMar>
            <w:top w:w="0" w:type="dxa"/>
            <w:left w:w="28" w:type="dxa"/>
            <w:bottom w:w="0" w:type="dxa"/>
            <w:right w:w="28" w:type="dxa"/>
          </w:tblCellMar>
        </w:tblPrEx>
        <w:trPr>
          <w:trHeight w:val="604"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评价结论</w:t>
            </w:r>
          </w:p>
        </w:tc>
        <w:tc>
          <w:tcPr>
            <w:tcW w:w="890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该项目指标全面完成，自评得分100分。提供档案接收、转递、信息录入、查阅等服务，保证了失业保险档案安全。</w:t>
            </w:r>
          </w:p>
        </w:tc>
      </w:tr>
      <w:tr>
        <w:tblPrEx>
          <w:tblCellMar>
            <w:top w:w="0" w:type="dxa"/>
            <w:left w:w="28" w:type="dxa"/>
            <w:bottom w:w="0" w:type="dxa"/>
            <w:right w:w="28" w:type="dxa"/>
          </w:tblCellMar>
        </w:tblPrEx>
        <w:trPr>
          <w:trHeight w:val="574"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存在问题</w:t>
            </w:r>
          </w:p>
        </w:tc>
        <w:tc>
          <w:tcPr>
            <w:tcW w:w="890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634" w:hRule="atLeast"/>
          <w:jc w:val="center"/>
        </w:trPr>
        <w:tc>
          <w:tcPr>
            <w:tcW w:w="68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宋体" w:hAnsi="宋体" w:cs="宋体"/>
                <w:sz w:val="18"/>
                <w:szCs w:val="18"/>
              </w:rPr>
            </w:pPr>
            <w:r>
              <w:rPr>
                <w:rFonts w:ascii="宋体" w:hAnsi="宋体" w:cs="宋体"/>
                <w:kern w:val="0"/>
                <w:sz w:val="18"/>
                <w:szCs w:val="18"/>
                <w:lang w:bidi="ar"/>
              </w:rPr>
              <w:t>改进措施</w:t>
            </w:r>
          </w:p>
        </w:tc>
        <w:tc>
          <w:tcPr>
            <w:tcW w:w="890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textAlignment w:val="center"/>
              <w:rPr>
                <w:rFonts w:ascii="宋体" w:hAnsi="宋体" w:cs="宋体"/>
                <w:sz w:val="18"/>
                <w:szCs w:val="18"/>
              </w:rPr>
            </w:pPr>
            <w:r>
              <w:rPr>
                <w:rFonts w:ascii="宋体" w:hAnsi="宋体" w:cs="宋体"/>
                <w:kern w:val="0"/>
                <w:sz w:val="18"/>
                <w:szCs w:val="18"/>
                <w:lang w:bidi="ar"/>
              </w:rPr>
              <w:t>加强绩效自评工作力度，完善绩效指标精确度。</w:t>
            </w:r>
          </w:p>
        </w:tc>
      </w:tr>
    </w:tbl>
    <w:p>
      <w:pPr>
        <w:widowControl/>
        <w:spacing w:line="240" w:lineRule="exact"/>
        <w:jc w:val="left"/>
        <w:textAlignment w:val="center"/>
        <w:rPr>
          <w:rFonts w:hint="eastAsia" w:ascii="宋体" w:hAnsi="宋体" w:cs="宋体"/>
          <w:kern w:val="0"/>
          <w:sz w:val="18"/>
          <w:szCs w:val="18"/>
          <w:lang w:bidi="ar"/>
        </w:rPr>
      </w:pPr>
    </w:p>
    <w:p>
      <w:pPr>
        <w:widowControl/>
        <w:spacing w:line="240" w:lineRule="exact"/>
        <w:jc w:val="left"/>
        <w:textAlignment w:val="center"/>
        <w:rPr>
          <w:rFonts w:hint="eastAsia" w:ascii="宋体" w:hAnsi="宋体" w:cs="宋体"/>
          <w:kern w:val="0"/>
          <w:sz w:val="18"/>
          <w:szCs w:val="18"/>
          <w:lang w:bidi="ar"/>
        </w:rPr>
      </w:pPr>
    </w:p>
    <w:tbl>
      <w:tblPr>
        <w:tblStyle w:val="8"/>
        <w:tblW w:w="9614" w:type="dxa"/>
        <w:jc w:val="center"/>
        <w:tblLayout w:type="fixed"/>
        <w:tblCellMar>
          <w:top w:w="0" w:type="dxa"/>
          <w:left w:w="28" w:type="dxa"/>
          <w:bottom w:w="0" w:type="dxa"/>
          <w:right w:w="28" w:type="dxa"/>
        </w:tblCellMar>
      </w:tblPr>
      <w:tblGrid>
        <w:gridCol w:w="873"/>
        <w:gridCol w:w="1161"/>
        <w:gridCol w:w="1219"/>
        <w:gridCol w:w="1523"/>
        <w:gridCol w:w="471"/>
        <w:gridCol w:w="786"/>
        <w:gridCol w:w="589"/>
        <w:gridCol w:w="1314"/>
        <w:gridCol w:w="486"/>
        <w:gridCol w:w="486"/>
        <w:gridCol w:w="706"/>
      </w:tblGrid>
      <w:tr>
        <w:tblPrEx>
          <w:tblCellMar>
            <w:top w:w="0" w:type="dxa"/>
            <w:left w:w="28" w:type="dxa"/>
            <w:bottom w:w="0" w:type="dxa"/>
            <w:right w:w="28" w:type="dxa"/>
          </w:tblCellMar>
        </w:tblPrEx>
        <w:trPr>
          <w:trHeight w:val="420" w:hRule="atLeast"/>
          <w:jc w:val="center"/>
        </w:trPr>
        <w:tc>
          <w:tcPr>
            <w:tcW w:w="9614"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2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bookmarkStart w:id="144" w:name="OLE_LINK62" w:colFirst="0" w:colLast="1"/>
            <w:r>
              <w:rPr>
                <w:rFonts w:hint="eastAsia" w:ascii="宋体" w:hAnsi="宋体" w:cs="宋体"/>
                <w:kern w:val="0"/>
                <w:sz w:val="18"/>
                <w:szCs w:val="18"/>
                <w:lang w:bidi="ar"/>
              </w:rPr>
              <w:t>项目名称</w:t>
            </w:r>
          </w:p>
        </w:tc>
        <w:tc>
          <w:tcPr>
            <w:tcW w:w="758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51080022T000004949209-职业培训监督指导工作经费</w:t>
            </w:r>
          </w:p>
        </w:tc>
      </w:tr>
      <w:tr>
        <w:tblPrEx>
          <w:tblCellMar>
            <w:top w:w="0" w:type="dxa"/>
            <w:left w:w="28" w:type="dxa"/>
            <w:bottom w:w="0" w:type="dxa"/>
            <w:right w:w="28" w:type="dxa"/>
          </w:tblCellMar>
        </w:tblPrEx>
        <w:trPr>
          <w:trHeight w:val="500" w:hRule="atLeast"/>
          <w:jc w:val="center"/>
        </w:trPr>
        <w:tc>
          <w:tcPr>
            <w:tcW w:w="203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58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167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58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299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12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58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根据财政厅、人力资源和社会保障厅《关于印发中央和省级就业创业补助资金管理办法的通知》（川财社﹝2019﹞38号）要求，为贯彻落实好职业培训补贴项目，须大力加强对全市培训开班、过程管理、结业考核等环节监督检查指导，把监督检查贯穿培训全过程，确保培训过程真实、培训效果扎实。拟对全市各县区（含市本级）培训班进行不定期抽查、指导和业务培训。</w:t>
            </w:r>
          </w:p>
        </w:tc>
        <w:tc>
          <w:tcPr>
            <w:tcW w:w="299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进一步加强对全市培训开班、过程管理、结业考核等环节监督检查指导，把监督检查贯穿培训全过程，确保培训过程真实、培训效果扎实。拟对全市各县区（含市本级）培训班进行不定期抽查、指导和业务培训。</w:t>
            </w:r>
          </w:p>
        </w:tc>
      </w:tr>
      <w:tr>
        <w:tblPrEx>
          <w:tblCellMar>
            <w:top w:w="0" w:type="dxa"/>
            <w:left w:w="28" w:type="dxa"/>
            <w:bottom w:w="0" w:type="dxa"/>
            <w:right w:w="28" w:type="dxa"/>
          </w:tblCellMar>
        </w:tblPrEx>
        <w:trPr>
          <w:trHeight w:val="6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58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由就业培训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36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28" w:type="dxa"/>
            <w:bottom w:w="0" w:type="dxa"/>
            <w:right w:w="2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84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560" w:hRule="atLeast"/>
          <w:jc w:val="center"/>
        </w:trPr>
        <w:tc>
          <w:tcPr>
            <w:tcW w:w="87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开展就业培训业务操作培训</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人次</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160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培训业务指导</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人次</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职业培训监督检查</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批次</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5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质量指标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资金使用符合相关规定</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定性</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符合《就业补助资金管理办法》</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符合《就业补助资金管理办法》</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6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社会效益指标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提高培训的针对性、有效性，切实提高培训群体的职业水平</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定性</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促进作用</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促进作用</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管理部门满意度</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成本指标</w:t>
            </w:r>
          </w:p>
        </w:tc>
        <w:tc>
          <w:tcPr>
            <w:tcW w:w="12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经济成本指标</w:t>
            </w: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职业培训监督检查、指导工作经费</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5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开展就业培训业务操作培训及宣传资料经费</w:t>
            </w:r>
          </w:p>
        </w:tc>
        <w:tc>
          <w:tcPr>
            <w:tcW w:w="4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40" w:hRule="atLeast"/>
          <w:jc w:val="center"/>
        </w:trPr>
        <w:tc>
          <w:tcPr>
            <w:tcW w:w="793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right"/>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70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340" w:hRule="atLeas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7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该项目指标全面完成，自评得分100分。对全市培训开班、过程管理、结业考核等环节监督检查指导，培训过程真实、培训效果扎实。</w:t>
            </w:r>
          </w:p>
        </w:tc>
      </w:tr>
      <w:tr>
        <w:tblPrEx>
          <w:tblCellMar>
            <w:top w:w="0" w:type="dxa"/>
            <w:left w:w="28" w:type="dxa"/>
            <w:bottom w:w="0" w:type="dxa"/>
            <w:right w:w="28" w:type="dxa"/>
          </w:tblCellMar>
        </w:tblPrEx>
        <w:trPr>
          <w:trHeight w:val="420" w:hRule="atLeas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7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440" w:hRule="atLeast"/>
          <w:jc w:val="center"/>
        </w:trPr>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741"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加强绩效自评工作力度，完善绩效指标精确度。</w:t>
            </w:r>
          </w:p>
        </w:tc>
      </w:tr>
      <w:bookmarkEnd w:id="144"/>
    </w:tbl>
    <w:p>
      <w:pPr>
        <w:pStyle w:val="15"/>
        <w:ind w:firstLine="0" w:firstLineChars="0"/>
        <w:rPr>
          <w:rFonts w:hint="eastAsia"/>
        </w:rPr>
      </w:pPr>
    </w:p>
    <w:tbl>
      <w:tblPr>
        <w:tblStyle w:val="8"/>
        <w:tblW w:w="9635" w:type="dxa"/>
        <w:jc w:val="center"/>
        <w:tblLayout w:type="fixed"/>
        <w:tblCellMar>
          <w:top w:w="0" w:type="dxa"/>
          <w:left w:w="28" w:type="dxa"/>
          <w:bottom w:w="0" w:type="dxa"/>
          <w:right w:w="28" w:type="dxa"/>
        </w:tblCellMar>
      </w:tblPr>
      <w:tblGrid>
        <w:gridCol w:w="762"/>
        <w:gridCol w:w="1131"/>
        <w:gridCol w:w="1187"/>
        <w:gridCol w:w="1475"/>
        <w:gridCol w:w="547"/>
        <w:gridCol w:w="547"/>
        <w:gridCol w:w="548"/>
        <w:gridCol w:w="1049"/>
        <w:gridCol w:w="486"/>
        <w:gridCol w:w="486"/>
        <w:gridCol w:w="1417"/>
      </w:tblGrid>
      <w:tr>
        <w:tblPrEx>
          <w:tblCellMar>
            <w:top w:w="0" w:type="dxa"/>
            <w:left w:w="28" w:type="dxa"/>
            <w:bottom w:w="0" w:type="dxa"/>
            <w:right w:w="28" w:type="dxa"/>
          </w:tblCellMar>
        </w:tblPrEx>
        <w:trPr>
          <w:trHeight w:val="428" w:hRule="atLeast"/>
          <w:jc w:val="center"/>
        </w:trPr>
        <w:tc>
          <w:tcPr>
            <w:tcW w:w="9635"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bookmarkStart w:id="145" w:name="OLE_LINK59"/>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8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bookmarkStart w:id="146" w:name="OLE_LINK63" w:colFirst="0" w:colLast="1"/>
            <w:r>
              <w:rPr>
                <w:rFonts w:ascii="宋体" w:hAnsi="宋体" w:cs="宋体"/>
                <w:kern w:val="0"/>
                <w:sz w:val="18"/>
                <w:szCs w:val="18"/>
                <w:lang w:bidi="ar"/>
              </w:rPr>
              <w:t>项目名称</w:t>
            </w:r>
          </w:p>
        </w:tc>
        <w:tc>
          <w:tcPr>
            <w:tcW w:w="774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51080023T000008423907-保障失业人员基本生活工作经费</w:t>
            </w:r>
          </w:p>
        </w:tc>
      </w:tr>
      <w:bookmarkEnd w:id="146"/>
      <w:tr>
        <w:tblPrEx>
          <w:tblCellMar>
            <w:top w:w="0" w:type="dxa"/>
            <w:left w:w="28" w:type="dxa"/>
            <w:bottom w:w="0" w:type="dxa"/>
            <w:right w:w="28" w:type="dxa"/>
          </w:tblCellMar>
        </w:tblPrEx>
        <w:trPr>
          <w:trHeight w:val="400" w:hRule="atLeast"/>
          <w:jc w:val="center"/>
        </w:trPr>
        <w:tc>
          <w:tcPr>
            <w:tcW w:w="189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bookmarkStart w:id="147" w:name="OLE_LINK65" w:colFirst="2" w:colLast="3"/>
            <w:bookmarkStart w:id="148" w:name="OLE_LINK64" w:colFirst="0" w:colLast="2"/>
            <w:r>
              <w:rPr>
                <w:rFonts w:ascii="宋体" w:hAnsi="宋体" w:cs="宋体"/>
                <w:kern w:val="0"/>
                <w:sz w:val="18"/>
                <w:szCs w:val="18"/>
                <w:lang w:bidi="ar"/>
              </w:rPr>
              <w:t>主管部门</w:t>
            </w:r>
          </w:p>
        </w:tc>
        <w:tc>
          <w:tcPr>
            <w:tcW w:w="430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广元市人力资源和社会保障局部门</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实施单位       （盖章）</w:t>
            </w:r>
          </w:p>
        </w:tc>
        <w:tc>
          <w:tcPr>
            <w:tcW w:w="23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项目基本情况</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1.项目年度目标完成情况</w:t>
            </w:r>
          </w:p>
        </w:tc>
        <w:tc>
          <w:tcPr>
            <w:tcW w:w="430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项目年度目标</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8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30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kern w:val="0"/>
                <w:sz w:val="18"/>
                <w:szCs w:val="18"/>
                <w:lang w:bidi="ar"/>
              </w:rPr>
            </w:pPr>
            <w:r>
              <w:rPr>
                <w:rFonts w:ascii="宋体" w:hAnsi="宋体" w:cs="宋体"/>
                <w:kern w:val="0"/>
                <w:sz w:val="18"/>
                <w:szCs w:val="18"/>
                <w:lang w:bidi="ar"/>
              </w:rPr>
              <w:t>1.通过发放失业保险待遇、代缴医保、失业补助金及其他相关补贴保障失业人员基本生活，促进失业人员再就业；</w:t>
            </w:r>
          </w:p>
          <w:p>
            <w:pPr>
              <w:widowControl/>
              <w:jc w:val="left"/>
              <w:textAlignment w:val="center"/>
              <w:rPr>
                <w:rFonts w:ascii="宋体" w:hAnsi="宋体" w:cs="宋体"/>
                <w:sz w:val="18"/>
                <w:szCs w:val="18"/>
              </w:rPr>
            </w:pPr>
            <w:r>
              <w:rPr>
                <w:rFonts w:ascii="宋体" w:hAnsi="宋体" w:cs="宋体"/>
                <w:kern w:val="0"/>
                <w:sz w:val="18"/>
                <w:szCs w:val="18"/>
                <w:lang w:bidi="ar"/>
              </w:rPr>
              <w:t>2.开展失业保险基金稽核、对县区进行日常检查和专项检查，确保基金安全。</w:t>
            </w:r>
          </w:p>
        </w:tc>
        <w:tc>
          <w:tcPr>
            <w:tcW w:w="343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通过发放失业保险待遇、代缴医保、失业补助金及其他相关补贴保障失业人员基本生活，促进失业人员再就业，开展失业保险基金稽核、对县区进行日常检查和专项检查，确保基金安全。</w:t>
            </w:r>
          </w:p>
        </w:tc>
      </w:tr>
      <w:bookmarkEnd w:id="147"/>
      <w:bookmarkEnd w:id="148"/>
      <w:tr>
        <w:tblPrEx>
          <w:tblCellMar>
            <w:top w:w="0" w:type="dxa"/>
            <w:left w:w="28" w:type="dxa"/>
            <w:bottom w:w="0" w:type="dxa"/>
            <w:right w:w="28" w:type="dxa"/>
          </w:tblCellMar>
        </w:tblPrEx>
        <w:trPr>
          <w:trHeight w:val="5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74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320"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28" w:type="dxa"/>
            <w:bottom w:w="0" w:type="dxa"/>
            <w:right w:w="28" w:type="dxa"/>
          </w:tblCellMar>
        </w:tblPrEx>
        <w:trPr>
          <w:trHeight w:val="2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4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54" w:hRule="atLeast"/>
          <w:jc w:val="center"/>
        </w:trPr>
        <w:tc>
          <w:tcPr>
            <w:tcW w:w="76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6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失业保险待遇政策宣传、补贴申请表、公示公告等相关资料的印制</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20000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份</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质量指标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各项待遇及补贴发放及时率</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发放失业保险待遇及各项补贴人数覆盖率</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各项待遇及补贴发放准确率</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社会效益指标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保障失业人员基本生活，促进失业人员再就业</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定性</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优良</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级</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优良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不出现失保基金违法违纪案件</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件</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成本指标</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经济成本指标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失业保险基金稽核工作经费</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失业保险待遇政策宣传、补贴申请表、公示公告等相关资料的印制</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7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保障失业人员基本生活，发放失业保险待遇、代缴医保、失业补助金及其他相关补贴工作经费</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85" w:hRule="atLeast"/>
          <w:jc w:val="center"/>
        </w:trPr>
        <w:tc>
          <w:tcPr>
            <w:tcW w:w="724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141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400"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87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该项目指标全面完成，自评得分100分。对发放失业保险相关补贴保障失业人员基本生活，促进失业人员再就业，开展失业保险基金稽核、对县区进行日常检查和专项检查，确保基金安全。</w:t>
            </w:r>
          </w:p>
        </w:tc>
      </w:tr>
      <w:tr>
        <w:tblPrEx>
          <w:tblCellMar>
            <w:top w:w="0" w:type="dxa"/>
            <w:left w:w="28" w:type="dxa"/>
            <w:bottom w:w="0" w:type="dxa"/>
            <w:right w:w="28" w:type="dxa"/>
          </w:tblCellMar>
        </w:tblPrEx>
        <w:trPr>
          <w:trHeight w:val="360"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87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340" w:hRule="atLeast"/>
          <w:jc w:val="center"/>
        </w:trPr>
        <w:tc>
          <w:tcPr>
            <w:tcW w:w="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873"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加强绩效自评工作力度，细化项目测算，完善绩效指标，加快项目实施进度，提高资金使用效率。</w:t>
            </w:r>
          </w:p>
        </w:tc>
      </w:tr>
    </w:tbl>
    <w:p>
      <w:pPr>
        <w:pStyle w:val="2"/>
        <w:spacing w:line="240" w:lineRule="auto"/>
        <w:rPr>
          <w:rFonts w:hint="eastAsia" w:ascii="宋体" w:hAnsi="宋体" w:cs="宋体"/>
          <w:sz w:val="18"/>
          <w:szCs w:val="18"/>
        </w:rPr>
      </w:pPr>
    </w:p>
    <w:bookmarkEnd w:id="145"/>
    <w:p>
      <w:pPr>
        <w:pStyle w:val="2"/>
        <w:spacing w:line="240" w:lineRule="auto"/>
        <w:rPr>
          <w:rFonts w:hint="eastAsia" w:ascii="宋体" w:hAnsi="宋体" w:cs="宋体"/>
          <w:sz w:val="18"/>
          <w:szCs w:val="18"/>
        </w:rPr>
      </w:pPr>
      <w:bookmarkStart w:id="149" w:name="OLE_LINK66"/>
    </w:p>
    <w:bookmarkEnd w:id="149"/>
    <w:tbl>
      <w:tblPr>
        <w:tblStyle w:val="8"/>
        <w:tblW w:w="9493" w:type="dxa"/>
        <w:jc w:val="center"/>
        <w:tblLayout w:type="fixed"/>
        <w:tblCellMar>
          <w:top w:w="0" w:type="dxa"/>
          <w:left w:w="28" w:type="dxa"/>
          <w:bottom w:w="0" w:type="dxa"/>
          <w:right w:w="28" w:type="dxa"/>
        </w:tblCellMar>
      </w:tblPr>
      <w:tblGrid>
        <w:gridCol w:w="763"/>
        <w:gridCol w:w="1128"/>
        <w:gridCol w:w="1190"/>
        <w:gridCol w:w="1477"/>
        <w:gridCol w:w="548"/>
        <w:gridCol w:w="548"/>
        <w:gridCol w:w="549"/>
        <w:gridCol w:w="1050"/>
        <w:gridCol w:w="486"/>
        <w:gridCol w:w="486"/>
        <w:gridCol w:w="1268"/>
      </w:tblGrid>
      <w:tr>
        <w:tblPrEx>
          <w:tblCellMar>
            <w:top w:w="0" w:type="dxa"/>
            <w:left w:w="28" w:type="dxa"/>
            <w:bottom w:w="0" w:type="dxa"/>
            <w:right w:w="28" w:type="dxa"/>
          </w:tblCellMar>
        </w:tblPrEx>
        <w:trPr>
          <w:trHeight w:val="420" w:hRule="atLeast"/>
          <w:jc w:val="center"/>
        </w:trPr>
        <w:tc>
          <w:tcPr>
            <w:tcW w:w="9493"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8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bookmarkStart w:id="150" w:name="OLE_LINK67" w:colFirst="0" w:colLast="8"/>
            <w:bookmarkStart w:id="151" w:name="OLE_LINK34" w:colFirst="0" w:colLast="1"/>
            <w:r>
              <w:rPr>
                <w:rFonts w:ascii="宋体" w:hAnsi="宋体" w:cs="宋体"/>
                <w:kern w:val="0"/>
                <w:sz w:val="18"/>
                <w:szCs w:val="18"/>
                <w:lang w:bidi="ar"/>
              </w:rPr>
              <w:t>项目名称</w:t>
            </w:r>
          </w:p>
        </w:tc>
        <w:tc>
          <w:tcPr>
            <w:tcW w:w="760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51080023T000008424642-就业创业服务工作经费</w:t>
            </w:r>
          </w:p>
        </w:tc>
      </w:tr>
      <w:tr>
        <w:tblPrEx>
          <w:tblCellMar>
            <w:top w:w="0" w:type="dxa"/>
            <w:left w:w="28" w:type="dxa"/>
            <w:bottom w:w="0" w:type="dxa"/>
            <w:right w:w="28" w:type="dxa"/>
          </w:tblCellMar>
        </w:tblPrEx>
        <w:trPr>
          <w:trHeight w:val="320" w:hRule="atLeast"/>
          <w:jc w:val="center"/>
        </w:trPr>
        <w:tc>
          <w:tcPr>
            <w:tcW w:w="189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主管部门</w:t>
            </w:r>
          </w:p>
        </w:tc>
        <w:tc>
          <w:tcPr>
            <w:tcW w:w="43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广元市人力资源和社会保障局部门</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实施单位 （盖章）</w:t>
            </w:r>
          </w:p>
        </w:tc>
        <w:tc>
          <w:tcPr>
            <w:tcW w:w="22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项目基本情况</w:t>
            </w: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1.项目年度目标完成情况</w:t>
            </w:r>
          </w:p>
        </w:tc>
        <w:tc>
          <w:tcPr>
            <w:tcW w:w="43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项目年度目标</w:t>
            </w:r>
          </w:p>
        </w:tc>
        <w:tc>
          <w:tcPr>
            <w:tcW w:w="32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6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312"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通过开展各类创业服务活动，就业服务活动，促进重点人群就业，保障脱贫人口就业，  提高政策知晓度，提升公共就业服务能力，提升创业能力，健全就业服务体系，营造全市更加浓厚的就业创业氛围，力争成功创建全国公共就业创业服务示范城市。</w:t>
            </w:r>
          </w:p>
        </w:tc>
        <w:tc>
          <w:tcPr>
            <w:tcW w:w="329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开展各类创业服务活动，就业服务活动，促进重点人群就业，保障脱贫人口就业，  提高政策知晓度，提升公共就业服务能力，提升创业能力，健全就业服务体系，营造全市更加浓厚的就业创业氛围，力争成功创建全国公共就业创业服务示范城市。</w:t>
            </w:r>
          </w:p>
        </w:tc>
      </w:tr>
      <w:tr>
        <w:tblPrEx>
          <w:tblCellMar>
            <w:top w:w="0" w:type="dxa"/>
            <w:left w:w="28" w:type="dxa"/>
            <w:bottom w:w="0" w:type="dxa"/>
            <w:right w:w="28" w:type="dxa"/>
          </w:tblCellMar>
        </w:tblPrEx>
        <w:trPr>
          <w:trHeight w:val="4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2.项目实施内容及过程概述</w:t>
            </w:r>
          </w:p>
        </w:tc>
        <w:tc>
          <w:tcPr>
            <w:tcW w:w="7602"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由就业指导科、创业服务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28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预算执行情况（10分）</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年度预算数（万元）</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年初预算</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调整后预算数</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得分</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原因</w:t>
            </w:r>
          </w:p>
        </w:tc>
      </w:tr>
      <w:bookmarkEnd w:id="150"/>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6"/>
                <w:szCs w:val="16"/>
              </w:rPr>
            </w:pPr>
            <w:bookmarkStart w:id="152" w:name="OLE_LINK68" w:colFirst="1" w:colLast="7"/>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总额</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6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6"/>
                <w:szCs w:val="16"/>
              </w:rPr>
            </w:pPr>
          </w:p>
        </w:tc>
      </w:tr>
      <w:tr>
        <w:tblPrEx>
          <w:tblCellMar>
            <w:top w:w="0" w:type="dxa"/>
            <w:left w:w="28" w:type="dxa"/>
            <w:bottom w:w="0" w:type="dxa"/>
            <w:right w:w="2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6"/>
                <w:szCs w:val="16"/>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其中：财政资金</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14.02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6"/>
                <w:szCs w:val="16"/>
              </w:rPr>
            </w:pPr>
          </w:p>
        </w:tc>
      </w:tr>
      <w:bookmarkEnd w:id="152"/>
      <w:tr>
        <w:tblPrEx>
          <w:tblCellMar>
            <w:top w:w="0" w:type="dxa"/>
            <w:left w:w="28" w:type="dxa"/>
            <w:bottom w:w="0" w:type="dxa"/>
            <w:right w:w="28" w:type="dxa"/>
          </w:tblCellMar>
        </w:tblPrEx>
        <w:trPr>
          <w:trHeight w:val="2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bookmarkStart w:id="153" w:name="OLE_LINK69"/>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76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建设就业帮扶车间（基地)、分工厂等就业载体</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根据教育部、省教育厅提供的2023届离校未就业高校毕业生名单，开展“一对一”实名制服务</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4000</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监督指导县区发放创业担保贷款</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亿元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扶持创业人数</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1500</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开展残疾人、退役军人、零就业家庭等其他重点群体就业促进活动</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场次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采取人工、AI等方式，按一定比例核实农村劳动力就业创业情况数据</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20000</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举办离校未就业高校毕业生就业创业典型宣传、职业指导、政策宣讲等活动</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6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举办四川省第三届“天府杯”创业创新大赛广元市选拔赛、创业项目巡诊、创业特训营和杭广、渝广创业服务合作交流等活动</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召开脱贫人口稳岗就业推进会，开展每季度工作督导</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优化完善国家级创业孵化基地、省级创业孵化基地服务功能，新增建设省级创业孵化基地</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7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社会效益指标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创业能力有效提升，创业氛围更加浓厚创业载体更加完善，服务功能更加优化，就业服务体系更加健全，公共就业服务能力有效提升，力争成功创建全国公共就业创业服务示范城市</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优良</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级</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优良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管理对象满意度</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2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成本指标</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经济成本指标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就业援助监督培训指导工作经费</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5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开展各类创业服务活动、监督县区发放创业担保贷款、优化创建创业孵化基地工作经费</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4.02</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开展各类就业服务活动工作经费</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00" w:hRule="atLeast"/>
          <w:jc w:val="center"/>
        </w:trPr>
        <w:tc>
          <w:tcPr>
            <w:tcW w:w="7253"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28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73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该项目指标全面完成，自评得分100分。开展各类创业服务活动，就业服务活动，促进重点人群就业，保障脱贫人口就业，  提高政策知晓度，提升公共就业服务能力，提升创业能力，健全就业服务体系。</w:t>
            </w:r>
          </w:p>
        </w:tc>
      </w:tr>
      <w:tr>
        <w:tblPrEx>
          <w:tblCellMar>
            <w:top w:w="0" w:type="dxa"/>
            <w:left w:w="28" w:type="dxa"/>
            <w:bottom w:w="0" w:type="dxa"/>
            <w:right w:w="28" w:type="dxa"/>
          </w:tblCellMar>
        </w:tblPrEx>
        <w:trPr>
          <w:trHeight w:val="30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73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260" w:hRule="atLeast"/>
          <w:jc w:val="center"/>
        </w:trPr>
        <w:tc>
          <w:tcPr>
            <w:tcW w:w="76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73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加强绩效自评工作力度，细化项目测算，完善绩效指标，加快项目实施进度，提高资金使用效率。</w:t>
            </w:r>
          </w:p>
        </w:tc>
      </w:tr>
      <w:bookmarkEnd w:id="151"/>
    </w:tbl>
    <w:p>
      <w:pPr>
        <w:pStyle w:val="2"/>
        <w:spacing w:line="240" w:lineRule="auto"/>
        <w:jc w:val="left"/>
        <w:rPr>
          <w:rFonts w:hint="eastAsia" w:ascii="宋体" w:hAnsi="宋体" w:cs="宋体"/>
          <w:sz w:val="18"/>
          <w:szCs w:val="18"/>
        </w:rPr>
      </w:pPr>
    </w:p>
    <w:tbl>
      <w:tblPr>
        <w:tblStyle w:val="8"/>
        <w:tblW w:w="9493" w:type="dxa"/>
        <w:jc w:val="center"/>
        <w:tblLayout w:type="fixed"/>
        <w:tblCellMar>
          <w:top w:w="0" w:type="dxa"/>
          <w:left w:w="28" w:type="dxa"/>
          <w:bottom w:w="0" w:type="dxa"/>
          <w:right w:w="28" w:type="dxa"/>
        </w:tblCellMar>
      </w:tblPr>
      <w:tblGrid>
        <w:gridCol w:w="764"/>
        <w:gridCol w:w="1130"/>
        <w:gridCol w:w="983"/>
        <w:gridCol w:w="1675"/>
        <w:gridCol w:w="548"/>
        <w:gridCol w:w="548"/>
        <w:gridCol w:w="549"/>
        <w:gridCol w:w="1051"/>
        <w:gridCol w:w="486"/>
        <w:gridCol w:w="487"/>
        <w:gridCol w:w="1272"/>
      </w:tblGrid>
      <w:tr>
        <w:tblPrEx>
          <w:tblCellMar>
            <w:top w:w="0" w:type="dxa"/>
            <w:left w:w="28" w:type="dxa"/>
            <w:bottom w:w="0" w:type="dxa"/>
            <w:right w:w="28" w:type="dxa"/>
          </w:tblCellMar>
        </w:tblPrEx>
        <w:trPr>
          <w:trHeight w:val="560" w:hRule="atLeast"/>
          <w:jc w:val="center"/>
        </w:trPr>
        <w:tc>
          <w:tcPr>
            <w:tcW w:w="9493"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黑体" w:hAnsi="宋体" w:eastAsia="黑体" w:cs="黑体"/>
                <w:b/>
                <w:bCs/>
                <w:kern w:val="0"/>
                <w:sz w:val="30"/>
                <w:szCs w:val="30"/>
                <w:lang w:bidi="ar"/>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8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项目名称</w:t>
            </w:r>
          </w:p>
        </w:tc>
        <w:tc>
          <w:tcPr>
            <w:tcW w:w="759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51080023T000008424735-失业动态监测、失业预警工作经费</w:t>
            </w:r>
          </w:p>
        </w:tc>
      </w:tr>
      <w:tr>
        <w:tblPrEx>
          <w:tblCellMar>
            <w:top w:w="0" w:type="dxa"/>
            <w:left w:w="28" w:type="dxa"/>
            <w:bottom w:w="0" w:type="dxa"/>
            <w:right w:w="28" w:type="dxa"/>
          </w:tblCellMar>
        </w:tblPrEx>
        <w:trPr>
          <w:trHeight w:val="514" w:hRule="atLeast"/>
          <w:jc w:val="center"/>
        </w:trPr>
        <w:tc>
          <w:tcPr>
            <w:tcW w:w="189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30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30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329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90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303"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通过开展各类创业服务活动，就业服务活动，促进重点人群就业，保障脱贫人口就业，提高政策知晓度，提升公共就业服务能力，提升创业能力，健全就业服务体系，营造全市更加浓厚的就业创业氛围，力争成功创建全国公共就业创业服务示范城市。</w:t>
            </w:r>
          </w:p>
        </w:tc>
        <w:tc>
          <w:tcPr>
            <w:tcW w:w="329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开展各类创业服务活动，就业服务活动，促进重点人群就业，保障脱贫人口就业，提高政策知晓度，提升公共就业服务能力，提升创业能力，健全就业服务体系，营造全市更加浓厚的就业创业氛围，力争成功创建全国公共就业创业服务示范城市。</w:t>
            </w:r>
          </w:p>
        </w:tc>
      </w:tr>
      <w:tr>
        <w:tblPrEx>
          <w:tblCellMar>
            <w:top w:w="0" w:type="dxa"/>
            <w:left w:w="28" w:type="dxa"/>
            <w:bottom w:w="0" w:type="dxa"/>
            <w:right w:w="28" w:type="dxa"/>
          </w:tblCellMar>
        </w:tblPrEx>
        <w:trPr>
          <w:trHeight w:val="52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599"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由失业保险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520"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28" w:type="dxa"/>
            <w:bottom w:w="0" w:type="dxa"/>
            <w:right w:w="2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2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4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54" w:hRule="atLeast"/>
          <w:jc w:val="center"/>
        </w:trPr>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监测岗位数</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40000</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开展就业创业形势调研</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监测户数</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336</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336</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监测数据填报月数</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月</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季度监测分析报告</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份</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质量指标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监测填报数据准确率</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90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社会效益指标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密切关注市场主体岗位变化情况，预防和化解规模性失业风险，为政府决策提供有关依据</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定性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好坏</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级</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好坏</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监测对象满意度</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成本指标</w:t>
            </w:r>
          </w:p>
        </w:tc>
        <w:tc>
          <w:tcPr>
            <w:tcW w:w="98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经济成本指标</w:t>
            </w: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失业动态监测费</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失业预警工作经费</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54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85" w:hRule="atLeast"/>
          <w:jc w:val="center"/>
        </w:trPr>
        <w:tc>
          <w:tcPr>
            <w:tcW w:w="724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4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54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729"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该项目指标全面完成，自评得分100分。对开展各类创业服务活动，就业服务活动，促进重点人群就业，保障脱贫人口就业，提高政策知晓度，提升公共就业服务能力，提升创业能力，健全就业服务体系。</w:t>
            </w:r>
          </w:p>
        </w:tc>
      </w:tr>
      <w:tr>
        <w:tblPrEx>
          <w:tblCellMar>
            <w:top w:w="0" w:type="dxa"/>
            <w:left w:w="28" w:type="dxa"/>
            <w:bottom w:w="0" w:type="dxa"/>
            <w:right w:w="28" w:type="dxa"/>
          </w:tblCellMar>
        </w:tblPrEx>
        <w:trPr>
          <w:trHeight w:val="40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729"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480" w:hRule="atLeast"/>
          <w:jc w:val="center"/>
        </w:trPr>
        <w:tc>
          <w:tcPr>
            <w:tcW w:w="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729"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加强绩效自评工作力度，细化项目测算，完善绩效指标，加快项目实施进度，提高资金使用效率。</w:t>
            </w:r>
          </w:p>
        </w:tc>
      </w:tr>
      <w:bookmarkEnd w:id="153"/>
    </w:tbl>
    <w:p>
      <w:pPr>
        <w:pStyle w:val="2"/>
        <w:spacing w:line="240" w:lineRule="auto"/>
        <w:rPr>
          <w:rFonts w:hint="eastAsia"/>
        </w:rPr>
      </w:pPr>
    </w:p>
    <w:tbl>
      <w:tblPr>
        <w:tblStyle w:val="8"/>
        <w:tblW w:w="9493" w:type="dxa"/>
        <w:jc w:val="center"/>
        <w:tblLayout w:type="fixed"/>
        <w:tblCellMar>
          <w:top w:w="0" w:type="dxa"/>
          <w:left w:w="28" w:type="dxa"/>
          <w:bottom w:w="0" w:type="dxa"/>
          <w:right w:w="28" w:type="dxa"/>
        </w:tblCellMar>
      </w:tblPr>
      <w:tblGrid>
        <w:gridCol w:w="765"/>
        <w:gridCol w:w="1131"/>
        <w:gridCol w:w="1187"/>
        <w:gridCol w:w="1475"/>
        <w:gridCol w:w="546"/>
        <w:gridCol w:w="546"/>
        <w:gridCol w:w="547"/>
        <w:gridCol w:w="1051"/>
        <w:gridCol w:w="486"/>
        <w:gridCol w:w="486"/>
        <w:gridCol w:w="1273"/>
      </w:tblGrid>
      <w:tr>
        <w:tblPrEx>
          <w:tblCellMar>
            <w:top w:w="0" w:type="dxa"/>
            <w:left w:w="28" w:type="dxa"/>
            <w:bottom w:w="0" w:type="dxa"/>
            <w:right w:w="28" w:type="dxa"/>
          </w:tblCellMar>
        </w:tblPrEx>
        <w:trPr>
          <w:trHeight w:val="600" w:hRule="atLeast"/>
          <w:jc w:val="center"/>
        </w:trPr>
        <w:tc>
          <w:tcPr>
            <w:tcW w:w="9493"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bookmarkStart w:id="154" w:name="OLE_LINK70" w:colFirst="0" w:colLast="7"/>
            <w:r>
              <w:rPr>
                <w:rFonts w:ascii="宋体" w:hAnsi="宋体" w:cs="宋体"/>
                <w:kern w:val="0"/>
                <w:sz w:val="18"/>
                <w:szCs w:val="18"/>
                <w:lang w:bidi="ar"/>
              </w:rPr>
              <w:t>项目名称</w:t>
            </w:r>
          </w:p>
        </w:tc>
        <w:tc>
          <w:tcPr>
            <w:tcW w:w="759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51080023T000008425176-乡村振兴驻村工作经费</w:t>
            </w:r>
          </w:p>
        </w:tc>
      </w:tr>
      <w:tr>
        <w:tblPrEx>
          <w:tblCellMar>
            <w:top w:w="0" w:type="dxa"/>
            <w:left w:w="28" w:type="dxa"/>
            <w:bottom w:w="0" w:type="dxa"/>
            <w:right w:w="28" w:type="dxa"/>
          </w:tblCellMar>
        </w:tblPrEx>
        <w:trPr>
          <w:trHeight w:val="514" w:hRule="atLeast"/>
          <w:jc w:val="center"/>
        </w:trPr>
        <w:tc>
          <w:tcPr>
            <w:tcW w:w="189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主管部门</w:t>
            </w:r>
          </w:p>
        </w:tc>
        <w:tc>
          <w:tcPr>
            <w:tcW w:w="43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广元市人力资源和社会保障局部门</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实施单位       （盖章）</w:t>
            </w:r>
          </w:p>
        </w:tc>
        <w:tc>
          <w:tcPr>
            <w:tcW w:w="224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项目基本情况</w:t>
            </w: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1.项目年度目标完成情况</w:t>
            </w:r>
          </w:p>
        </w:tc>
        <w:tc>
          <w:tcPr>
            <w:tcW w:w="43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项目年度目标</w:t>
            </w:r>
          </w:p>
        </w:tc>
        <w:tc>
          <w:tcPr>
            <w:tcW w:w="329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7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30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2023年我中心驻村工作队员共2人，保障驻村工作队员基本生活待遇，确保驻村工作正常开展。</w:t>
            </w:r>
          </w:p>
        </w:tc>
        <w:tc>
          <w:tcPr>
            <w:tcW w:w="3296"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2023年我中心驻村工作队员共2人，保障驻村工作队员基本生活待遇，确保驻村工作正常开展。</w:t>
            </w:r>
          </w:p>
        </w:tc>
      </w:tr>
      <w:tr>
        <w:tblPrEx>
          <w:tblCellMar>
            <w:top w:w="0" w:type="dxa"/>
            <w:left w:w="28" w:type="dxa"/>
            <w:bottom w:w="0" w:type="dxa"/>
            <w:right w:w="28" w:type="dxa"/>
          </w:tblCellMar>
        </w:tblPrEx>
        <w:trPr>
          <w:trHeight w:val="6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2.项目实施内容及过程概述</w:t>
            </w:r>
          </w:p>
        </w:tc>
        <w:tc>
          <w:tcPr>
            <w:tcW w:w="7597"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由综合科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480"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预算执行情况（10分）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年度预算数（万元）</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年初预算</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调整后预算数</w:t>
            </w: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预算执行数</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得分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原因</w:t>
            </w:r>
          </w:p>
        </w:tc>
      </w:tr>
      <w:tr>
        <w:tblPrEx>
          <w:tblCellMar>
            <w:top w:w="0" w:type="dxa"/>
            <w:left w:w="28" w:type="dxa"/>
            <w:bottom w:w="0" w:type="dxa"/>
            <w:right w:w="2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总额</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其中：财政资金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财政专户管理资金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bookmarkEnd w:id="154"/>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bookmarkStart w:id="155" w:name="OLE_LINK71" w:colFirst="1" w:colLast="1"/>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单位资金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其他资金</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63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54" w:hRule="atLeast"/>
          <w:jc w:val="center"/>
        </w:trPr>
        <w:tc>
          <w:tcPr>
            <w:tcW w:w="7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绩效指标（90分）</w:t>
            </w: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一级指标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二级指标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三级指标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指标性质</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指标值</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度量单位</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得分</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未完成原因分析</w:t>
            </w: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产出指标</w:t>
            </w:r>
          </w:p>
        </w:tc>
        <w:tc>
          <w:tcPr>
            <w:tcW w:w="118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数量指标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联系脱贫户</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141</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户</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141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帮扶村数量</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个</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集体经济收入</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万元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水果种植面积</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1191</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亩</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1191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质量指标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巩固脱贫攻坚成果验收合格率</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95</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时效指标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完成时间</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效益指标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经济效益指标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带动脱贫人口增收</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8000</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元/年</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社会效益指标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继续巩固脱贫成果，建设美丽新农村</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定性</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优良</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级</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优良</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满意度指标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满意度指标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人民群众满意度</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95</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95</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成本指标</w:t>
            </w:r>
          </w:p>
        </w:tc>
        <w:tc>
          <w:tcPr>
            <w:tcW w:w="118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经济成本指标</w:t>
            </w:r>
          </w:p>
        </w:tc>
        <w:tc>
          <w:tcPr>
            <w:tcW w:w="14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驻村工作队员帮扶工作经费和生活补助</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5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万元</w:t>
            </w:r>
          </w:p>
        </w:tc>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3.64</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285" w:hRule="atLeast"/>
          <w:jc w:val="center"/>
        </w:trPr>
        <w:tc>
          <w:tcPr>
            <w:tcW w:w="7248"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127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38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评价结论</w:t>
            </w:r>
          </w:p>
        </w:tc>
        <w:tc>
          <w:tcPr>
            <w:tcW w:w="8728"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该项目指标全面完成，自评得分100分。保障驻村工作队员基本生活待遇，确保驻村工作正常开展。</w:t>
            </w:r>
          </w:p>
        </w:tc>
      </w:tr>
      <w:tr>
        <w:tblPrEx>
          <w:tblCellMar>
            <w:top w:w="0" w:type="dxa"/>
            <w:left w:w="28" w:type="dxa"/>
            <w:bottom w:w="0" w:type="dxa"/>
            <w:right w:w="28" w:type="dxa"/>
          </w:tblCellMar>
        </w:tblPrEx>
        <w:trPr>
          <w:trHeight w:val="42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存在问题</w:t>
            </w:r>
          </w:p>
        </w:tc>
        <w:tc>
          <w:tcPr>
            <w:tcW w:w="8728"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42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改进措施</w:t>
            </w:r>
          </w:p>
        </w:tc>
        <w:tc>
          <w:tcPr>
            <w:tcW w:w="8728"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加强绩效自评工作力度，细化项目测算，完善绩效指标，加快项目实施进度，提高资金使用效率。</w:t>
            </w:r>
          </w:p>
        </w:tc>
      </w:tr>
      <w:bookmarkEnd w:id="155"/>
    </w:tbl>
    <w:p>
      <w:pPr>
        <w:pStyle w:val="2"/>
        <w:spacing w:line="240" w:lineRule="auto"/>
        <w:jc w:val="left"/>
        <w:rPr>
          <w:rFonts w:hint="eastAsia"/>
        </w:rPr>
      </w:pPr>
    </w:p>
    <w:tbl>
      <w:tblPr>
        <w:tblStyle w:val="8"/>
        <w:tblW w:w="9334" w:type="dxa"/>
        <w:jc w:val="center"/>
        <w:tblLayout w:type="fixed"/>
        <w:tblCellMar>
          <w:top w:w="0" w:type="dxa"/>
          <w:left w:w="28" w:type="dxa"/>
          <w:bottom w:w="0" w:type="dxa"/>
          <w:right w:w="28" w:type="dxa"/>
        </w:tblCellMar>
      </w:tblPr>
      <w:tblGrid>
        <w:gridCol w:w="842"/>
        <w:gridCol w:w="1132"/>
        <w:gridCol w:w="1188"/>
        <w:gridCol w:w="1477"/>
        <w:gridCol w:w="544"/>
        <w:gridCol w:w="544"/>
        <w:gridCol w:w="545"/>
        <w:gridCol w:w="1052"/>
        <w:gridCol w:w="486"/>
        <w:gridCol w:w="486"/>
        <w:gridCol w:w="1038"/>
      </w:tblGrid>
      <w:tr>
        <w:tblPrEx>
          <w:tblCellMar>
            <w:top w:w="0" w:type="dxa"/>
            <w:left w:w="28" w:type="dxa"/>
            <w:bottom w:w="0" w:type="dxa"/>
            <w:right w:w="28" w:type="dxa"/>
          </w:tblCellMar>
        </w:tblPrEx>
        <w:trPr>
          <w:trHeight w:val="700" w:hRule="atLeast"/>
          <w:jc w:val="center"/>
        </w:trPr>
        <w:tc>
          <w:tcPr>
            <w:tcW w:w="9334"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5" w:hRule="atLeast"/>
          <w:jc w:val="center"/>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bookmarkStart w:id="156" w:name="OLE_LINK72" w:colFirst="0" w:colLast="1"/>
            <w:r>
              <w:rPr>
                <w:rFonts w:ascii="宋体" w:hAnsi="宋体" w:cs="宋体"/>
                <w:kern w:val="0"/>
                <w:sz w:val="18"/>
                <w:szCs w:val="18"/>
                <w:lang w:bidi="ar"/>
              </w:rPr>
              <w:t>项目名称</w:t>
            </w:r>
          </w:p>
        </w:tc>
        <w:tc>
          <w:tcPr>
            <w:tcW w:w="736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51080023T000009239725-2022年创业担保贷款市级财政贴息资金</w:t>
            </w:r>
          </w:p>
        </w:tc>
      </w:tr>
      <w:tr>
        <w:tblPrEx>
          <w:tblCellMar>
            <w:top w:w="0" w:type="dxa"/>
            <w:left w:w="28" w:type="dxa"/>
            <w:bottom w:w="0" w:type="dxa"/>
            <w:right w:w="28" w:type="dxa"/>
          </w:tblCellMar>
        </w:tblPrEx>
        <w:trPr>
          <w:trHeight w:val="514" w:hRule="atLeast"/>
          <w:jc w:val="center"/>
        </w:trPr>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主管部门</w:t>
            </w:r>
          </w:p>
        </w:tc>
        <w:tc>
          <w:tcPr>
            <w:tcW w:w="429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广元市人力资源和社会保障局部门</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实施单位       （盖章）</w:t>
            </w:r>
          </w:p>
        </w:tc>
        <w:tc>
          <w:tcPr>
            <w:tcW w:w="201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5"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项目基本情况</w:t>
            </w: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1.项目年度目标完成情况</w:t>
            </w:r>
          </w:p>
        </w:tc>
        <w:tc>
          <w:tcPr>
            <w:tcW w:w="429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项目年度目标</w:t>
            </w:r>
          </w:p>
        </w:tc>
        <w:tc>
          <w:tcPr>
            <w:tcW w:w="306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7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29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按照《财政厅、人力资源和社会保障厅、中国人民银行成都分行关于进一步加大创业担保贷款贴息力度权利支持重点全体创业就业的通知》，拨付2022年度创业担保贷款市级财政资金，促进就业创业。</w:t>
            </w:r>
          </w:p>
        </w:tc>
        <w:tc>
          <w:tcPr>
            <w:tcW w:w="306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拨付2022年度创业担保贷款市级财政资金，促进就业创业。</w:t>
            </w:r>
          </w:p>
        </w:tc>
      </w:tr>
      <w:tr>
        <w:tblPrEx>
          <w:tblCellMar>
            <w:top w:w="0" w:type="dxa"/>
            <w:left w:w="28" w:type="dxa"/>
            <w:bottom w:w="0" w:type="dxa"/>
            <w:right w:w="28" w:type="dxa"/>
          </w:tblCellMar>
        </w:tblPrEx>
        <w:trPr>
          <w:trHeight w:val="69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2.项目实施内容及过程概述</w:t>
            </w:r>
          </w:p>
        </w:tc>
        <w:tc>
          <w:tcPr>
            <w:tcW w:w="736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由创业服务科制定项目实施方案，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360"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预算执行情况（10分）</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年度预算数（万元）</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年初预算</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调整后预算数</w:t>
            </w: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预算执行数</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预算执行率</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得分</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原因</w:t>
            </w:r>
          </w:p>
        </w:tc>
      </w:tr>
      <w:tr>
        <w:tblPrEx>
          <w:tblCellMar>
            <w:top w:w="0" w:type="dxa"/>
            <w:left w:w="28" w:type="dxa"/>
            <w:bottom w:w="0" w:type="dxa"/>
            <w:right w:w="28" w:type="dxa"/>
          </w:tblCellMar>
        </w:tblPrEx>
        <w:trPr>
          <w:trHeight w:val="34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总额</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038"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其中：财政资金</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0.30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40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财政专户管理资金</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单位资金</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0.00%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其他资金</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63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sz w:val="18"/>
                <w:szCs w:val="18"/>
              </w:rPr>
            </w:pPr>
          </w:p>
        </w:tc>
      </w:tr>
      <w:tr>
        <w:tblPrEx>
          <w:tblCellMar>
            <w:top w:w="0" w:type="dxa"/>
            <w:left w:w="28" w:type="dxa"/>
            <w:bottom w:w="0" w:type="dxa"/>
            <w:right w:w="28" w:type="dxa"/>
          </w:tblCellMar>
        </w:tblPrEx>
        <w:trPr>
          <w:trHeight w:val="500" w:hRule="atLeast"/>
          <w:jc w:val="center"/>
        </w:trPr>
        <w:tc>
          <w:tcPr>
            <w:tcW w:w="84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绩效指标（90分）</w:t>
            </w: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一级指标</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二级指标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三级指标</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指标性质</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指标值</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度量单位</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完成值</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权重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得分</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未完成原因分析</w:t>
            </w: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产出指标</w:t>
            </w:r>
          </w:p>
        </w:tc>
        <w:tc>
          <w:tcPr>
            <w:tcW w:w="11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质量指标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创业担保贷款回收率</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90</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90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资金足额拨付率</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30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33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效益指标</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经济效益指标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创业担保基金放大倍数</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定性</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2倍</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2倍</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20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454"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13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满意度指标</w:t>
            </w:r>
          </w:p>
        </w:tc>
        <w:tc>
          <w:tcPr>
            <w:tcW w:w="11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服务对象满意度指标</w:t>
            </w:r>
          </w:p>
        </w:tc>
        <w:tc>
          <w:tcPr>
            <w:tcW w:w="14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申报创业担保贷款贴息小微企业满意度</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54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80</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w:t>
            </w:r>
          </w:p>
        </w:tc>
        <w:tc>
          <w:tcPr>
            <w:tcW w:w="105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80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微软雅黑" w:hAnsi="微软雅黑" w:eastAsia="微软雅黑" w:cs="微软雅黑"/>
                <w:i/>
                <w:iCs/>
                <w:sz w:val="18"/>
                <w:szCs w:val="18"/>
              </w:rPr>
            </w:pPr>
          </w:p>
        </w:tc>
      </w:tr>
      <w:tr>
        <w:tblPrEx>
          <w:tblCellMar>
            <w:top w:w="0" w:type="dxa"/>
            <w:left w:w="28" w:type="dxa"/>
            <w:bottom w:w="0" w:type="dxa"/>
            <w:right w:w="28" w:type="dxa"/>
          </w:tblCellMar>
        </w:tblPrEx>
        <w:trPr>
          <w:trHeight w:val="285" w:hRule="atLeast"/>
          <w:jc w:val="center"/>
        </w:trPr>
        <w:tc>
          <w:tcPr>
            <w:tcW w:w="732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合计</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100</w:t>
            </w:r>
          </w:p>
        </w:tc>
        <w:tc>
          <w:tcPr>
            <w:tcW w:w="103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510"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评价结论</w:t>
            </w:r>
          </w:p>
        </w:tc>
        <w:tc>
          <w:tcPr>
            <w:tcW w:w="849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该项目指标全面完成，自评得分100分。完成拨付2022年度创业担保贷款市级财政资金，促进就业创业。</w:t>
            </w:r>
          </w:p>
        </w:tc>
      </w:tr>
      <w:tr>
        <w:tblPrEx>
          <w:tblCellMar>
            <w:top w:w="0" w:type="dxa"/>
            <w:left w:w="28" w:type="dxa"/>
            <w:bottom w:w="0" w:type="dxa"/>
            <w:right w:w="28" w:type="dxa"/>
          </w:tblCellMar>
        </w:tblPrEx>
        <w:trPr>
          <w:trHeight w:val="510"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存在问题</w:t>
            </w:r>
          </w:p>
        </w:tc>
        <w:tc>
          <w:tcPr>
            <w:tcW w:w="849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部分绩效指标编制不合理,绩效指标量化不合理。</w:t>
            </w:r>
          </w:p>
        </w:tc>
      </w:tr>
      <w:tr>
        <w:tblPrEx>
          <w:tblCellMar>
            <w:top w:w="0" w:type="dxa"/>
            <w:left w:w="28" w:type="dxa"/>
            <w:bottom w:w="0" w:type="dxa"/>
            <w:right w:w="28" w:type="dxa"/>
          </w:tblCellMar>
        </w:tblPrEx>
        <w:trPr>
          <w:trHeight w:val="510" w:hRule="atLeast"/>
          <w:jc w:val="center"/>
        </w:trPr>
        <w:tc>
          <w:tcPr>
            <w:tcW w:w="8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ascii="宋体" w:hAnsi="宋体" w:cs="宋体"/>
                <w:kern w:val="0"/>
                <w:sz w:val="18"/>
                <w:szCs w:val="18"/>
                <w:lang w:bidi="ar"/>
              </w:rPr>
              <w:t>改进措施</w:t>
            </w:r>
          </w:p>
        </w:tc>
        <w:tc>
          <w:tcPr>
            <w:tcW w:w="8492"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sz w:val="18"/>
                <w:szCs w:val="18"/>
              </w:rPr>
            </w:pPr>
            <w:r>
              <w:rPr>
                <w:rFonts w:ascii="宋体" w:hAnsi="宋体" w:cs="宋体"/>
                <w:kern w:val="0"/>
                <w:sz w:val="18"/>
                <w:szCs w:val="18"/>
                <w:lang w:bidi="ar"/>
              </w:rPr>
              <w:t>加强绩效自评工作力度，细化项目测算，完善绩效指标，加快项目实施进度，提高资金使用效率。</w:t>
            </w:r>
          </w:p>
        </w:tc>
      </w:tr>
      <w:bookmarkEnd w:id="156"/>
    </w:tbl>
    <w:p>
      <w:pPr>
        <w:pStyle w:val="2"/>
        <w:spacing w:line="240" w:lineRule="auto"/>
        <w:jc w:val="left"/>
        <w:rPr>
          <w:rFonts w:hint="eastAsia"/>
        </w:rPr>
      </w:pPr>
    </w:p>
    <w:tbl>
      <w:tblPr>
        <w:tblStyle w:val="8"/>
        <w:tblW w:w="9585" w:type="dxa"/>
        <w:jc w:val="center"/>
        <w:tblLayout w:type="fixed"/>
        <w:tblCellMar>
          <w:top w:w="0" w:type="dxa"/>
          <w:left w:w="28" w:type="dxa"/>
          <w:bottom w:w="0" w:type="dxa"/>
          <w:right w:w="28" w:type="dxa"/>
        </w:tblCellMar>
      </w:tblPr>
      <w:tblGrid>
        <w:gridCol w:w="665"/>
        <w:gridCol w:w="1220"/>
        <w:gridCol w:w="910"/>
        <w:gridCol w:w="1077"/>
        <w:gridCol w:w="521"/>
        <w:gridCol w:w="1022"/>
        <w:gridCol w:w="508"/>
        <w:gridCol w:w="1021"/>
        <w:gridCol w:w="505"/>
        <w:gridCol w:w="576"/>
        <w:gridCol w:w="1560"/>
      </w:tblGrid>
      <w:tr>
        <w:tblPrEx>
          <w:tblCellMar>
            <w:top w:w="0" w:type="dxa"/>
            <w:left w:w="28" w:type="dxa"/>
            <w:bottom w:w="0" w:type="dxa"/>
            <w:right w:w="28" w:type="dxa"/>
          </w:tblCellMar>
        </w:tblPrEx>
        <w:trPr>
          <w:trHeight w:val="904" w:hRule="atLeast"/>
          <w:jc w:val="center"/>
        </w:trPr>
        <w:tc>
          <w:tcPr>
            <w:tcW w:w="9585"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sz w:val="30"/>
                <w:szCs w:val="30"/>
              </w:rPr>
            </w:pPr>
            <w:r>
              <w:rPr>
                <w:rFonts w:hint="eastAsia" w:ascii="宋体" w:hAnsi="宋体" w:cs="宋体"/>
                <w:b/>
                <w:kern w:val="0"/>
                <w:sz w:val="30"/>
                <w:szCs w:val="30"/>
                <w:lang w:bidi="ar"/>
              </w:rPr>
              <w:t>部门预算项目支出绩效自评表（2023年度）</w:t>
            </w:r>
          </w:p>
        </w:tc>
      </w:tr>
      <w:tr>
        <w:tblPrEx>
          <w:tblCellMar>
            <w:top w:w="0" w:type="dxa"/>
            <w:left w:w="28" w:type="dxa"/>
            <w:bottom w:w="0" w:type="dxa"/>
            <w:right w:w="28" w:type="dxa"/>
          </w:tblCellMar>
        </w:tblPrEx>
        <w:trPr>
          <w:trHeight w:val="286"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项目名称</w:t>
            </w:r>
          </w:p>
        </w:tc>
        <w:tc>
          <w:tcPr>
            <w:tcW w:w="770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51080022T000007095289-促进就业创业专项工作经费</w:t>
            </w:r>
          </w:p>
        </w:tc>
      </w:tr>
      <w:tr>
        <w:tblPrEx>
          <w:tblCellMar>
            <w:top w:w="0" w:type="dxa"/>
            <w:left w:w="28" w:type="dxa"/>
            <w:bottom w:w="0" w:type="dxa"/>
            <w:right w:w="28" w:type="dxa"/>
          </w:tblCellMar>
        </w:tblPrEx>
        <w:trPr>
          <w:trHeight w:val="512" w:hRule="atLeast"/>
          <w:jc w:val="center"/>
        </w:trPr>
        <w:tc>
          <w:tcPr>
            <w:tcW w:w="188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0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1021" w:type="dxa"/>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264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6"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12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0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366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134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038"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增加工作经费，充实工作力量，一是促进我市城镇新增就业，二是确保稳岗返还、一次性扩岗补助政策落实到位，三是通过发放失业动态监测信息采集补贴提升监测水平，四是开展失业保险业务档案财务会计档案整理规范。</w:t>
            </w:r>
          </w:p>
        </w:tc>
        <w:tc>
          <w:tcPr>
            <w:tcW w:w="366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进一步充实了工作力量，促进了我市城镇新增就业，确保稳岗返还、一次性扩岗补助政策落实到位，强化失业动态监测信息采集服务工作，通过发放失业动态监测信息采集补贴及开展培训，提升监测水平，保证全市就业创业工作顺利推进。</w:t>
            </w:r>
          </w:p>
        </w:tc>
      </w:tr>
      <w:tr>
        <w:tblPrEx>
          <w:tblCellMar>
            <w:top w:w="0" w:type="dxa"/>
            <w:left w:w="28" w:type="dxa"/>
            <w:bottom w:w="0" w:type="dxa"/>
            <w:right w:w="28" w:type="dxa"/>
          </w:tblCellMar>
        </w:tblPrEx>
        <w:trPr>
          <w:trHeight w:val="8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700"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由失业保险科、就业指导科及相关科室制定项目实施方案，经市就业创业促进中心会议审核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361"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28" w:type="dxa"/>
            <w:bottom w:w="0" w:type="dxa"/>
            <w:right w:w="2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40.00</w:t>
            </w: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25.63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64.08%</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7.2</w:t>
            </w:r>
          </w:p>
        </w:tc>
        <w:tc>
          <w:tcPr>
            <w:tcW w:w="15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bookmarkStart w:id="157" w:name="OLE_LINK74"/>
            <w:bookmarkStart w:id="158" w:name="OLE_LINK35"/>
            <w:r>
              <w:rPr>
                <w:rFonts w:hint="eastAsia" w:ascii="宋体" w:hAnsi="宋体" w:cs="宋体"/>
                <w:iCs/>
                <w:sz w:val="18"/>
                <w:szCs w:val="18"/>
              </w:rPr>
              <w:t>1.预算执行率未达到90%，原因是由于该项目资金年中下达，下达时间晚来不及在年度内全部完成项目支付</w:t>
            </w:r>
            <w:bookmarkEnd w:id="157"/>
            <w:r>
              <w:rPr>
                <w:rFonts w:hint="eastAsia" w:ascii="宋体" w:hAnsi="宋体" w:cs="宋体"/>
                <w:iCs/>
                <w:sz w:val="18"/>
                <w:szCs w:val="18"/>
              </w:rPr>
              <w:t>；2.年中发生预算调整的（追加）的理由：2023年稳岗返还、一次性扩岗补助政策等政策出台，业务量大增，需要充实前台工作力量，此外信息采集补贴费用不足，需要调增以促进全市就业创业工作。</w:t>
            </w:r>
            <w:bookmarkEnd w:id="158"/>
          </w:p>
        </w:tc>
      </w:tr>
      <w:tr>
        <w:tblPrEx>
          <w:tblCellMar>
            <w:top w:w="0" w:type="dxa"/>
            <w:left w:w="28" w:type="dxa"/>
            <w:bottom w:w="0" w:type="dxa"/>
            <w:right w:w="28" w:type="dxa"/>
          </w:tblCellMar>
        </w:tblPrEx>
        <w:trPr>
          <w:trHeight w:val="43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sz w:val="18"/>
                <w:szCs w:val="18"/>
              </w:rPr>
            </w:pPr>
            <w:r>
              <w:rPr>
                <w:rFonts w:hint="eastAsia" w:ascii="宋体" w:hAnsi="宋体" w:cs="宋体"/>
                <w:kern w:val="0"/>
                <w:sz w:val="18"/>
                <w:szCs w:val="18"/>
                <w:lang w:bidi="ar"/>
              </w:rPr>
              <w:t>40.00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40.00</w:t>
            </w: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25.63</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64.08%</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28" w:type="dxa"/>
            <w:bottom w:w="0" w:type="dxa"/>
            <w:right w:w="28" w:type="dxa"/>
          </w:tblCellMar>
        </w:tblPrEx>
        <w:trPr>
          <w:trHeight w:val="44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28" w:type="dxa"/>
            <w:bottom w:w="0" w:type="dxa"/>
            <w:right w:w="28" w:type="dxa"/>
          </w:tblCellMar>
        </w:tblPrEx>
        <w:trPr>
          <w:trHeight w:val="40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28" w:type="dxa"/>
            <w:bottom w:w="0" w:type="dxa"/>
            <w:right w:w="28" w:type="dxa"/>
          </w:tblCellMar>
        </w:tblPrEx>
        <w:trPr>
          <w:trHeight w:val="37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205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sz w:val="18"/>
                <w:szCs w:val="18"/>
              </w:rPr>
            </w:pPr>
          </w:p>
        </w:tc>
      </w:tr>
      <w:tr>
        <w:tblPrEx>
          <w:tblCellMar>
            <w:top w:w="0" w:type="dxa"/>
            <w:left w:w="28" w:type="dxa"/>
            <w:bottom w:w="0" w:type="dxa"/>
            <w:right w:w="28" w:type="dxa"/>
          </w:tblCellMar>
        </w:tblPrEx>
        <w:trPr>
          <w:trHeight w:val="452" w:hRule="atLeast"/>
          <w:jc w:val="center"/>
        </w:trPr>
        <w:tc>
          <w:tcPr>
            <w:tcW w:w="66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12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发放稳岗返还、一次性扩岗补助对象数</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2000</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家</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sz w:val="18"/>
                <w:szCs w:val="18"/>
              </w:rPr>
            </w:pPr>
            <w:r>
              <w:rPr>
                <w:rFonts w:hint="eastAsia" w:ascii="宋体" w:hAnsi="宋体" w:cs="宋体"/>
                <w:kern w:val="0"/>
                <w:sz w:val="18"/>
                <w:szCs w:val="18"/>
                <w:lang w:bidi="ar"/>
              </w:rPr>
              <w:t>2000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jc w:val="center"/>
              <w:rPr>
                <w:rFonts w:hint="eastAsia" w:ascii="宋体" w:hAnsi="宋体" w:cs="宋体"/>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时效指标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实现失业动态监测样本数</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300</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户</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sz w:val="18"/>
                <w:szCs w:val="18"/>
              </w:rPr>
            </w:pPr>
            <w:r>
              <w:rPr>
                <w:rFonts w:hint="eastAsia" w:ascii="宋体" w:hAnsi="宋体" w:cs="宋体"/>
                <w:kern w:val="0"/>
                <w:sz w:val="18"/>
                <w:szCs w:val="18"/>
                <w:lang w:bidi="ar"/>
              </w:rPr>
              <w:t>300</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jc w:val="center"/>
              <w:rPr>
                <w:rFonts w:hint="eastAsia" w:ascii="宋体" w:hAnsi="宋体" w:cs="宋体"/>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数量指标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城镇新增就业</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3.35</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万人</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kern w:val="0"/>
                <w:sz w:val="18"/>
                <w:szCs w:val="18"/>
                <w:lang w:bidi="ar"/>
              </w:rPr>
            </w:pPr>
            <w:r>
              <w:rPr>
                <w:rFonts w:hint="eastAsia" w:ascii="宋体" w:hAnsi="宋体" w:cs="宋体"/>
                <w:kern w:val="0"/>
                <w:sz w:val="18"/>
                <w:szCs w:val="18"/>
                <w:lang w:bidi="ar"/>
              </w:rPr>
              <w:t>3.35</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时效指标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政策完成时间</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定性</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2023年</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18"/>
                <w:szCs w:val="18"/>
                <w:lang w:bidi="ar"/>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kern w:val="0"/>
                <w:sz w:val="18"/>
                <w:szCs w:val="18"/>
                <w:lang w:bidi="ar"/>
              </w:rPr>
            </w:pPr>
            <w:r>
              <w:rPr>
                <w:rFonts w:hint="eastAsia" w:ascii="宋体" w:hAnsi="宋体" w:cs="宋体"/>
                <w:kern w:val="0"/>
                <w:sz w:val="18"/>
                <w:szCs w:val="18"/>
                <w:lang w:bidi="ar"/>
              </w:rPr>
              <w:t>2023年</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社会效益指标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对工作的促进作用</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定性</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稳定就业、减少失业</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kern w:val="0"/>
                <w:sz w:val="18"/>
                <w:szCs w:val="18"/>
                <w:lang w:bidi="ar"/>
              </w:rPr>
            </w:pP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稳定就业、减少失业</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20</w:t>
            </w:r>
          </w:p>
        </w:tc>
        <w:tc>
          <w:tcPr>
            <w:tcW w:w="15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22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满意度指标</w:t>
            </w:r>
          </w:p>
        </w:tc>
        <w:tc>
          <w:tcPr>
            <w:tcW w:w="91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满意度指标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服务对象满意度指标</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99</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99</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10</w:t>
            </w:r>
          </w:p>
        </w:tc>
        <w:tc>
          <w:tcPr>
            <w:tcW w:w="1560"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bookmarkStart w:id="159" w:name="OLE_LINK36" w:colFirst="1" w:colLast="1"/>
          </w:p>
        </w:tc>
        <w:tc>
          <w:tcPr>
            <w:tcW w:w="1220"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成本指标</w:t>
            </w:r>
          </w:p>
        </w:tc>
        <w:tc>
          <w:tcPr>
            <w:tcW w:w="91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经济成本指标</w:t>
            </w: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就业促进行动经费</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12</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万元</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kern w:val="0"/>
                <w:sz w:val="18"/>
                <w:szCs w:val="18"/>
                <w:lang w:bidi="ar"/>
              </w:rPr>
            </w:pPr>
            <w:r>
              <w:rPr>
                <w:rFonts w:hint="eastAsia" w:ascii="宋体" w:hAnsi="宋体" w:cs="宋体"/>
                <w:kern w:val="0"/>
                <w:sz w:val="18"/>
                <w:szCs w:val="18"/>
                <w:lang w:bidi="ar"/>
              </w:rPr>
              <w:t>12</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4</w:t>
            </w:r>
          </w:p>
        </w:tc>
        <w:tc>
          <w:tcPr>
            <w:tcW w:w="1560"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sz w:val="18"/>
                <w:szCs w:val="18"/>
              </w:rPr>
            </w:pPr>
            <w:bookmarkStart w:id="160" w:name="OLE_LINK37"/>
            <w:r>
              <w:rPr>
                <w:rFonts w:hint="eastAsia" w:ascii="宋体" w:hAnsi="宋体" w:cs="宋体"/>
                <w:sz w:val="18"/>
                <w:szCs w:val="18"/>
              </w:rPr>
              <w:t>原因是由于该项目资金年中下达，下达时间晚来不及在年度内全部完成项目支付</w:t>
            </w:r>
            <w:bookmarkEnd w:id="160"/>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jc w:val="center"/>
              <w:rPr>
                <w:rFonts w:hint="eastAsia" w:ascii="宋体" w:hAnsi="宋体" w:cs="宋体"/>
                <w:kern w:val="0"/>
                <w:sz w:val="18"/>
                <w:szCs w:val="18"/>
                <w:lang w:bidi="ar"/>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失业动态监测经费</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13.788</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万元</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kern w:val="0"/>
                <w:sz w:val="18"/>
                <w:szCs w:val="18"/>
                <w:lang w:bidi="ar"/>
              </w:rPr>
            </w:pPr>
            <w:r>
              <w:rPr>
                <w:rFonts w:hint="eastAsia" w:ascii="宋体" w:hAnsi="宋体" w:cs="宋体"/>
                <w:kern w:val="0"/>
                <w:sz w:val="18"/>
                <w:szCs w:val="18"/>
                <w:lang w:bidi="ar"/>
              </w:rPr>
              <w:t>13.788</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kern w:val="0"/>
                <w:sz w:val="18"/>
                <w:szCs w:val="18"/>
                <w:lang w:bidi="ar"/>
              </w:rPr>
            </w:pPr>
            <w:r>
              <w:rPr>
                <w:rFonts w:hint="eastAsia" w:ascii="宋体" w:hAnsi="宋体" w:cs="宋体"/>
                <w:kern w:val="0"/>
                <w:sz w:val="18"/>
                <w:szCs w:val="18"/>
                <w:lang w:bidi="ar"/>
              </w:rPr>
              <w:t>5</w:t>
            </w:r>
          </w:p>
        </w:tc>
        <w:tc>
          <w:tcPr>
            <w:tcW w:w="1560"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bookmarkStart w:id="161" w:name="OLE_LINK38" w:colFirst="10" w:colLast="10"/>
          </w:p>
        </w:tc>
        <w:tc>
          <w:tcPr>
            <w:tcW w:w="0" w:type="auto"/>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c>
          <w:tcPr>
            <w:tcW w:w="0" w:type="auto"/>
            <w:vMerge w:val="continue"/>
            <w:tcBorders>
              <w:left w:val="single" w:color="000000" w:sz="4" w:space="0"/>
              <w:right w:val="single" w:color="000000" w:sz="4" w:space="0"/>
            </w:tcBorders>
            <w:noWrap w:val="0"/>
            <w:vAlign w:val="center"/>
          </w:tcPr>
          <w:p>
            <w:pPr>
              <w:jc w:val="center"/>
              <w:rPr>
                <w:rFonts w:hint="eastAsia" w:ascii="宋体" w:hAnsi="宋体" w:cs="宋体"/>
                <w:sz w:val="18"/>
                <w:szCs w:val="18"/>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稳岗工作经费</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sz w:val="18"/>
                <w:szCs w:val="18"/>
              </w:rPr>
            </w:pPr>
            <w:r>
              <w:rPr>
                <w:rFonts w:hint="eastAsia" w:ascii="宋体" w:hAnsi="宋体" w:cs="宋体"/>
                <w:kern w:val="0"/>
                <w:sz w:val="18"/>
                <w:szCs w:val="18"/>
                <w:lang w:bidi="ar"/>
              </w:rPr>
              <w:t>9</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bookmarkStart w:id="162" w:name="OLE_LINK39"/>
            <w:r>
              <w:rPr>
                <w:rFonts w:hint="eastAsia" w:ascii="宋体" w:hAnsi="宋体" w:cs="宋体"/>
                <w:sz w:val="18"/>
                <w:szCs w:val="18"/>
              </w:rPr>
              <w:t>原因是由于该项目资金年中下达，下达时间晚来不及在年度内全部完成项目支付</w:t>
            </w:r>
            <w:bookmarkEnd w:id="162"/>
          </w:p>
        </w:tc>
      </w:tr>
      <w:tr>
        <w:tblPrEx>
          <w:tblCellMar>
            <w:top w:w="0" w:type="dxa"/>
            <w:left w:w="28" w:type="dxa"/>
            <w:bottom w:w="0" w:type="dxa"/>
            <w:right w:w="28" w:type="dxa"/>
          </w:tblCellMar>
        </w:tblPrEx>
        <w:trPr>
          <w:trHeight w:val="83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p>
        </w:tc>
        <w:tc>
          <w:tcPr>
            <w:tcW w:w="0" w:type="auto"/>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0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失业保险档案整理经费</w:t>
            </w:r>
          </w:p>
        </w:tc>
        <w:tc>
          <w:tcPr>
            <w:tcW w:w="5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0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w:t>
            </w:r>
          </w:p>
        </w:tc>
        <w:tc>
          <w:tcPr>
            <w:tcW w:w="5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i/>
                <w:sz w:val="18"/>
                <w:szCs w:val="18"/>
              </w:rPr>
            </w:pPr>
            <w:r>
              <w:rPr>
                <w:rFonts w:hint="eastAsia" w:ascii="宋体" w:hAnsi="宋体" w:cs="宋体"/>
                <w:kern w:val="0"/>
                <w:sz w:val="18"/>
                <w:szCs w:val="18"/>
                <w:lang w:bidi="ar"/>
              </w:rPr>
              <w:t>6</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sz w:val="18"/>
                <w:szCs w:val="18"/>
              </w:rPr>
            </w:pPr>
            <w:r>
              <w:rPr>
                <w:rFonts w:hint="eastAsia" w:ascii="宋体" w:hAnsi="宋体" w:cs="宋体"/>
                <w:sz w:val="18"/>
                <w:szCs w:val="18"/>
              </w:rPr>
              <w:t>原因是由于该项目资金年中下达，下达时间晚来不及在年度内全部完成项目支付</w:t>
            </w:r>
          </w:p>
        </w:tc>
      </w:tr>
      <w:bookmarkEnd w:id="159"/>
      <w:bookmarkEnd w:id="161"/>
      <w:tr>
        <w:tblPrEx>
          <w:tblCellMar>
            <w:top w:w="0" w:type="dxa"/>
            <w:left w:w="28" w:type="dxa"/>
            <w:bottom w:w="0" w:type="dxa"/>
            <w:right w:w="28" w:type="dxa"/>
          </w:tblCellMar>
        </w:tblPrEx>
        <w:trPr>
          <w:trHeight w:val="286" w:hRule="atLeast"/>
          <w:jc w:val="center"/>
        </w:trPr>
        <w:tc>
          <w:tcPr>
            <w:tcW w:w="694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50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sz w:val="18"/>
                <w:szCs w:val="18"/>
              </w:rPr>
              <w:t>95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603"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92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该项目主要用于充实失业保险工作工作力量，强化失业动态监测信息采集服务工作，2022年失业补助金、稳岗返还、留工培训等政策覆盖面广，落实力度强，失业信息采集工作顺利开展，群众和企业满意度高。</w:t>
            </w:r>
          </w:p>
        </w:tc>
      </w:tr>
      <w:tr>
        <w:tblPrEx>
          <w:tblCellMar>
            <w:top w:w="0" w:type="dxa"/>
            <w:left w:w="28" w:type="dxa"/>
            <w:bottom w:w="0" w:type="dxa"/>
            <w:right w:w="28" w:type="dxa"/>
          </w:tblCellMar>
        </w:tblPrEx>
        <w:trPr>
          <w:trHeight w:val="572"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92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（1）项目测算标准有待细化，测算准确率有待提高。（2）部分绩效指标编制不合理，绩效指标量化不合理。（3）项目实施进度有待加强。</w:t>
            </w:r>
          </w:p>
        </w:tc>
      </w:tr>
      <w:tr>
        <w:tblPrEx>
          <w:tblCellMar>
            <w:top w:w="0" w:type="dxa"/>
            <w:left w:w="28" w:type="dxa"/>
            <w:bottom w:w="0" w:type="dxa"/>
            <w:right w:w="28" w:type="dxa"/>
          </w:tblCellMar>
        </w:tblPrEx>
        <w:trPr>
          <w:trHeight w:val="633" w:hRule="atLeast"/>
          <w:jc w:val="center"/>
        </w:trPr>
        <w:tc>
          <w:tcPr>
            <w:tcW w:w="66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892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sz w:val="18"/>
                <w:szCs w:val="18"/>
              </w:rPr>
            </w:pPr>
            <w:r>
              <w:rPr>
                <w:rFonts w:hint="eastAsia" w:ascii="宋体" w:hAnsi="宋体" w:cs="宋体"/>
                <w:kern w:val="0"/>
                <w:sz w:val="18"/>
                <w:szCs w:val="18"/>
                <w:lang w:bidi="ar"/>
              </w:rPr>
              <w:t>加强绩效自评工作力度，细化项目测算，完善绩效指标，加快项目实施进度，提高资金使用效率。</w:t>
            </w:r>
          </w:p>
        </w:tc>
      </w:tr>
    </w:tbl>
    <w:p>
      <w:pPr>
        <w:pStyle w:val="15"/>
        <w:ind w:left="0" w:leftChars="0" w:firstLine="0" w:firstLineChars="0"/>
        <w:rPr>
          <w:rFonts w:hint="eastAsia"/>
        </w:rPr>
      </w:pPr>
    </w:p>
    <w:tbl>
      <w:tblPr>
        <w:tblStyle w:val="8"/>
        <w:tblW w:w="9503" w:type="dxa"/>
        <w:jc w:val="center"/>
        <w:tblLayout w:type="fixed"/>
        <w:tblCellMar>
          <w:top w:w="0" w:type="dxa"/>
          <w:left w:w="28" w:type="dxa"/>
          <w:bottom w:w="0" w:type="dxa"/>
          <w:right w:w="28" w:type="dxa"/>
        </w:tblCellMar>
      </w:tblPr>
      <w:tblGrid>
        <w:gridCol w:w="713"/>
        <w:gridCol w:w="884"/>
        <w:gridCol w:w="1001"/>
        <w:gridCol w:w="1625"/>
        <w:gridCol w:w="522"/>
        <w:gridCol w:w="573"/>
        <w:gridCol w:w="545"/>
        <w:gridCol w:w="777"/>
        <w:gridCol w:w="627"/>
        <w:gridCol w:w="750"/>
        <w:gridCol w:w="1486"/>
      </w:tblGrid>
      <w:tr>
        <w:tblPrEx>
          <w:tblCellMar>
            <w:top w:w="0" w:type="dxa"/>
            <w:left w:w="28" w:type="dxa"/>
            <w:bottom w:w="0" w:type="dxa"/>
            <w:right w:w="28" w:type="dxa"/>
          </w:tblCellMar>
        </w:tblPrEx>
        <w:trPr>
          <w:trHeight w:val="706" w:hRule="atLeast"/>
          <w:jc w:val="center"/>
        </w:trPr>
        <w:tc>
          <w:tcPr>
            <w:tcW w:w="9503"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黑体" w:hAnsi="宋体" w:eastAsia="黑体" w:cs="黑体"/>
                <w:b/>
                <w:bCs/>
                <w:sz w:val="30"/>
                <w:szCs w:val="30"/>
              </w:rPr>
            </w:pPr>
            <w:r>
              <w:rPr>
                <w:rFonts w:hint="eastAsia" w:ascii="黑体" w:hAnsi="宋体" w:eastAsia="黑体" w:cs="黑体"/>
                <w:b/>
                <w:bCs/>
                <w:kern w:val="0"/>
                <w:sz w:val="30"/>
                <w:szCs w:val="30"/>
                <w:lang w:bidi="ar"/>
              </w:rPr>
              <w:t>部门预算项目支出绩效自评表（2023年度）</w:t>
            </w:r>
          </w:p>
        </w:tc>
      </w:tr>
      <w:tr>
        <w:tblPrEx>
          <w:tblCellMar>
            <w:top w:w="0" w:type="dxa"/>
            <w:left w:w="28" w:type="dxa"/>
            <w:bottom w:w="0" w:type="dxa"/>
            <w:right w:w="28" w:type="dxa"/>
          </w:tblCellMar>
        </w:tblPrEx>
        <w:trPr>
          <w:trHeight w:val="286"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项目名称</w:t>
            </w:r>
          </w:p>
        </w:tc>
        <w:tc>
          <w:tcPr>
            <w:tcW w:w="790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51080022T000006180281-就业创业补助资金</w:t>
            </w:r>
          </w:p>
        </w:tc>
      </w:tr>
      <w:tr>
        <w:tblPrEx>
          <w:tblCellMar>
            <w:top w:w="0" w:type="dxa"/>
            <w:left w:w="28" w:type="dxa"/>
            <w:bottom w:w="0" w:type="dxa"/>
            <w:right w:w="28" w:type="dxa"/>
          </w:tblCellMar>
        </w:tblPrEx>
        <w:trPr>
          <w:trHeight w:val="740"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主管部门</w:t>
            </w:r>
          </w:p>
        </w:tc>
        <w:tc>
          <w:tcPr>
            <w:tcW w:w="426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广元市人力资源和社会保障局部门</w:t>
            </w:r>
          </w:p>
        </w:tc>
        <w:tc>
          <w:tcPr>
            <w:tcW w:w="777" w:type="dxa"/>
            <w:tcBorders>
              <w:top w:val="nil"/>
              <w:left w:val="nil"/>
              <w:bottom w:val="nil"/>
              <w:right w:val="nil"/>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实施单位 （盖章）</w:t>
            </w:r>
          </w:p>
        </w:tc>
        <w:tc>
          <w:tcPr>
            <w:tcW w:w="2863"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广元市就业创业促进中心</w:t>
            </w:r>
          </w:p>
        </w:tc>
      </w:tr>
      <w:tr>
        <w:tblPrEx>
          <w:tblCellMar>
            <w:top w:w="0" w:type="dxa"/>
            <w:left w:w="28" w:type="dxa"/>
            <w:bottom w:w="0" w:type="dxa"/>
            <w:right w:w="28" w:type="dxa"/>
          </w:tblCellMar>
        </w:tblPrEx>
        <w:trPr>
          <w:trHeight w:val="286"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项目基本情况</w:t>
            </w: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1.项目年度目标完成情况</w:t>
            </w:r>
          </w:p>
        </w:tc>
        <w:tc>
          <w:tcPr>
            <w:tcW w:w="426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项目年度目标</w:t>
            </w:r>
          </w:p>
        </w:tc>
        <w:tc>
          <w:tcPr>
            <w:tcW w:w="364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年度目标完成情况</w:t>
            </w:r>
          </w:p>
        </w:tc>
      </w:tr>
      <w:tr>
        <w:tblPrEx>
          <w:tblCellMar>
            <w:top w:w="0" w:type="dxa"/>
            <w:left w:w="28" w:type="dxa"/>
            <w:bottom w:w="0" w:type="dxa"/>
            <w:right w:w="28" w:type="dxa"/>
          </w:tblCellMar>
        </w:tblPrEx>
        <w:trPr>
          <w:trHeight w:val="708"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4266"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 xml:space="preserve">目标1：资金按规定用于通过购买服务的方式促进就业等支出。     </w:t>
            </w:r>
          </w:p>
          <w:p>
            <w:pPr>
              <w:widowControl/>
              <w:jc w:val="left"/>
              <w:textAlignment w:val="center"/>
              <w:rPr>
                <w:rFonts w:hint="eastAsia" w:ascii="宋体" w:hAnsi="宋体" w:cs="宋体"/>
                <w:kern w:val="0"/>
                <w:sz w:val="18"/>
                <w:szCs w:val="18"/>
                <w:lang w:bidi="ar"/>
              </w:rPr>
            </w:pPr>
            <w:r>
              <w:rPr>
                <w:rFonts w:hint="eastAsia" w:ascii="宋体" w:hAnsi="宋体" w:cs="宋体"/>
                <w:kern w:val="0"/>
                <w:sz w:val="18"/>
                <w:szCs w:val="18"/>
                <w:lang w:bidi="ar"/>
              </w:rPr>
              <w:t>目标2：确保完成年度城镇新增就业目标任务。</w:t>
            </w:r>
          </w:p>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 xml:space="preserve">目标3：确保年末城镇登记失业率保持在目标范围内。 </w:t>
            </w:r>
          </w:p>
        </w:tc>
        <w:tc>
          <w:tcPr>
            <w:tcW w:w="364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sz w:val="18"/>
                <w:szCs w:val="18"/>
              </w:rPr>
              <w:t xml:space="preserve">该项目资金按规定用于通过购买服务的方式促进就业等支出，完成年度城镇新增就业目标任务，确保年末城镇登记失业率保持在目标范围内。 </w:t>
            </w:r>
          </w:p>
        </w:tc>
      </w:tr>
      <w:tr>
        <w:tblPrEx>
          <w:tblCellMar>
            <w:top w:w="0" w:type="dxa"/>
            <w:left w:w="28" w:type="dxa"/>
            <w:bottom w:w="0" w:type="dxa"/>
            <w:right w:w="28" w:type="dxa"/>
          </w:tblCellMar>
        </w:tblPrEx>
        <w:trPr>
          <w:trHeight w:val="693"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2.项目实施内容及过程概述</w:t>
            </w:r>
          </w:p>
        </w:tc>
        <w:tc>
          <w:tcPr>
            <w:tcW w:w="7906" w:type="dxa"/>
            <w:gridSpan w:val="9"/>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r>
              <w:rPr>
                <w:rFonts w:hint="eastAsia" w:ascii="宋体" w:hAnsi="宋体" w:cs="宋体"/>
                <w:kern w:val="0"/>
                <w:sz w:val="18"/>
                <w:szCs w:val="18"/>
                <w:lang w:bidi="ar"/>
              </w:rPr>
              <w:t>由失业保险与就业促进科、市就业创业促进中心、市人才交流中心、市农民工服务中心等共同制定制定项目实施方案，经市人力资源和社会保障局会议审通过后予以实施。项目管理严格遵守相关法律法规和业务管理规定，项目从立项、公开、组织实施、支出均严格按照相关政策规定进行，项目申报符合国家政策，符合地方经济社会的发展需要，具有明确的项目实施主体及实施决策程序。</w:t>
            </w:r>
          </w:p>
        </w:tc>
      </w:tr>
      <w:tr>
        <w:tblPrEx>
          <w:tblCellMar>
            <w:top w:w="0" w:type="dxa"/>
            <w:left w:w="28" w:type="dxa"/>
            <w:bottom w:w="0" w:type="dxa"/>
            <w:right w:w="28" w:type="dxa"/>
          </w:tblCellMar>
        </w:tblPrEx>
        <w:trPr>
          <w:trHeight w:val="480"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预算执行情况（10分）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年度预算数（万元）</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年初预算</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调整后预算数</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预算执行数</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预算执行率</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原因</w:t>
            </w:r>
          </w:p>
        </w:tc>
      </w:tr>
      <w:tr>
        <w:tblPrEx>
          <w:tblCellMar>
            <w:top w:w="0" w:type="dxa"/>
            <w:left w:w="28" w:type="dxa"/>
            <w:bottom w:w="0" w:type="dxa"/>
            <w:right w:w="28" w:type="dxa"/>
          </w:tblCellMar>
        </w:tblPrEx>
        <w:trPr>
          <w:trHeight w:val="346"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总额</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97.00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74.72</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74.72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77.04%</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8</w:t>
            </w:r>
          </w:p>
        </w:tc>
        <w:tc>
          <w:tcPr>
            <w:tcW w:w="148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sz w:val="18"/>
                <w:szCs w:val="18"/>
              </w:rPr>
            </w:pPr>
            <w:bookmarkStart w:id="163" w:name="OLE_LINK75"/>
            <w:r>
              <w:rPr>
                <w:rFonts w:hint="eastAsia" w:ascii="宋体" w:hAnsi="宋体" w:cs="宋体"/>
                <w:sz w:val="18"/>
                <w:szCs w:val="18"/>
              </w:rPr>
              <w:t>预算执行率未达到90%，原因是由于</w:t>
            </w:r>
            <w:bookmarkEnd w:id="163"/>
            <w:r>
              <w:rPr>
                <w:rFonts w:hint="eastAsia" w:ascii="宋体" w:hAnsi="宋体" w:cs="宋体"/>
                <w:sz w:val="18"/>
                <w:szCs w:val="18"/>
              </w:rPr>
              <w:t>按照合同签订期限，存在跨年支付情况。</w:t>
            </w:r>
          </w:p>
        </w:tc>
      </w:tr>
      <w:tr>
        <w:tblPrEx>
          <w:tblCellMar>
            <w:top w:w="0" w:type="dxa"/>
            <w:left w:w="28" w:type="dxa"/>
            <w:bottom w:w="0" w:type="dxa"/>
            <w:right w:w="28" w:type="dxa"/>
          </w:tblCellMar>
        </w:tblPrEx>
        <w:trPr>
          <w:trHeight w:val="39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其中：财政资金</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97.00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74.72</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lang w:bidi="ar"/>
              </w:rPr>
              <w:t>74.72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77.04%</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4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iCs/>
                <w:sz w:val="18"/>
                <w:szCs w:val="18"/>
              </w:rPr>
            </w:pPr>
          </w:p>
        </w:tc>
      </w:tr>
      <w:tr>
        <w:tblPrEx>
          <w:tblCellMar>
            <w:top w:w="0" w:type="dxa"/>
            <w:left w:w="28" w:type="dxa"/>
            <w:bottom w:w="0" w:type="dxa"/>
            <w:right w:w="28" w:type="dxa"/>
          </w:tblCellMar>
        </w:tblPrEx>
        <w:trPr>
          <w:trHeight w:val="40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财政专户管理资金</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4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iCs/>
                <w:sz w:val="18"/>
                <w:szCs w:val="18"/>
              </w:rPr>
            </w:pPr>
          </w:p>
        </w:tc>
      </w:tr>
      <w:tr>
        <w:tblPrEx>
          <w:tblCellMar>
            <w:top w:w="0" w:type="dxa"/>
            <w:left w:w="28" w:type="dxa"/>
            <w:bottom w:w="0" w:type="dxa"/>
            <w:right w:w="28" w:type="dxa"/>
          </w:tblCellMar>
        </w:tblPrEx>
        <w:trPr>
          <w:trHeight w:val="361"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单位资金</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0.00%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4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iCs/>
                <w:sz w:val="18"/>
                <w:szCs w:val="18"/>
              </w:rPr>
            </w:pPr>
          </w:p>
        </w:tc>
      </w:tr>
      <w:tr>
        <w:tblPrEx>
          <w:tblCellMar>
            <w:top w:w="0" w:type="dxa"/>
            <w:left w:w="28" w:type="dxa"/>
            <w:bottom w:w="0" w:type="dxa"/>
            <w:right w:w="28" w:type="dxa"/>
          </w:tblCellMar>
        </w:tblPrEx>
        <w:trPr>
          <w:trHeight w:val="387"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其他资金</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1486"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7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绩效指标（90分）</w:t>
            </w: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一级指标</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二级指标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三级指标</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指标性质</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指标值</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度量单位</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完成值</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权重</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得分</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未完成原因分析</w:t>
            </w: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产出指标</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数量指标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公共就业创业服务宣传次数</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次</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5</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创业服务活动参与人数</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人</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100</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质量指标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职业培训补贴发放准确率</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99</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时效指标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资金在规定时间内支付到位</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99</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效益指标</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12"/>
                <w:sz w:val="18"/>
                <w:szCs w:val="18"/>
              </w:rPr>
            </w:pPr>
            <w:r>
              <w:rPr>
                <w:rFonts w:hint="eastAsia" w:ascii="宋体" w:hAnsi="宋体" w:cs="宋体"/>
                <w:spacing w:val="-12"/>
                <w:kern w:val="0"/>
                <w:sz w:val="18"/>
                <w:szCs w:val="18"/>
                <w:lang w:bidi="ar"/>
              </w:rPr>
              <w:t>经济效益指标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年末城镇等级失业率</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5.5</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5.5</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12"/>
                <w:kern w:val="0"/>
                <w:sz w:val="18"/>
                <w:szCs w:val="18"/>
                <w:lang w:bidi="ar"/>
              </w:rPr>
            </w:pPr>
            <w:r>
              <w:rPr>
                <w:rFonts w:hint="eastAsia" w:ascii="宋体" w:hAnsi="宋体" w:cs="宋体"/>
                <w:spacing w:val="-12"/>
                <w:kern w:val="0"/>
                <w:sz w:val="18"/>
                <w:szCs w:val="18"/>
                <w:lang w:bidi="ar"/>
              </w:rPr>
              <w:t>城镇新增就业人数</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3.35</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3.35</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12"/>
                <w:kern w:val="0"/>
                <w:sz w:val="18"/>
                <w:szCs w:val="18"/>
                <w:lang w:bidi="ar"/>
              </w:rPr>
            </w:pPr>
            <w:r>
              <w:rPr>
                <w:rFonts w:hint="eastAsia" w:ascii="宋体" w:hAnsi="宋体" w:cs="宋体"/>
                <w:spacing w:val="-12"/>
                <w:kern w:val="0"/>
                <w:sz w:val="18"/>
                <w:szCs w:val="18"/>
                <w:lang w:bidi="ar"/>
              </w:rPr>
              <w:t>满意度指标</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服务对象满意度指标</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99</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99</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88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成本指标</w:t>
            </w:r>
          </w:p>
        </w:tc>
        <w:tc>
          <w:tcPr>
            <w:tcW w:w="100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pacing w:val="-12"/>
                <w:kern w:val="0"/>
                <w:sz w:val="18"/>
                <w:szCs w:val="18"/>
                <w:lang w:bidi="ar"/>
              </w:rPr>
            </w:pPr>
            <w:r>
              <w:rPr>
                <w:rFonts w:hint="eastAsia" w:ascii="宋体" w:hAnsi="宋体" w:cs="宋体"/>
                <w:spacing w:val="-12"/>
                <w:kern w:val="0"/>
                <w:sz w:val="18"/>
                <w:szCs w:val="18"/>
                <w:lang w:bidi="ar"/>
              </w:rPr>
              <w:t>经济成本指标</w:t>
            </w: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公共就业信息数据核查费用</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15</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10.47</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推广应用四川省培训监管平台使用费用</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24.32</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24.32</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第四届天府杯创业大赛广元选拔赛费用</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22</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13.66</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45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公共就业信息调</w:t>
            </w:r>
            <w:r>
              <w:rPr>
                <w:rFonts w:hint="eastAsia" w:ascii="宋体" w:hAnsi="宋体" w:cs="宋体"/>
                <w:spacing w:val="-12"/>
                <w:kern w:val="0"/>
                <w:sz w:val="18"/>
                <w:szCs w:val="18"/>
                <w:lang w:bidi="ar"/>
              </w:rPr>
              <w:t>查与统计分析费用</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29</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20.03</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339"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p>
        </w:tc>
        <w:tc>
          <w:tcPr>
            <w:tcW w:w="16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公共就业创业服务宣传</w:t>
            </w:r>
          </w:p>
        </w:tc>
        <w:tc>
          <w:tcPr>
            <w:tcW w:w="5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w:t>
            </w:r>
          </w:p>
        </w:tc>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6.68</w:t>
            </w:r>
          </w:p>
        </w:tc>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万元</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7.53</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4</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sz w:val="18"/>
                <w:szCs w:val="18"/>
              </w:rPr>
            </w:pPr>
            <w:r>
              <w:rPr>
                <w:rFonts w:hint="eastAsia" w:ascii="宋体" w:hAnsi="宋体" w:cs="宋体"/>
                <w:sz w:val="18"/>
                <w:szCs w:val="18"/>
              </w:rPr>
              <w:t>4</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i/>
                <w:iCs/>
                <w:sz w:val="18"/>
                <w:szCs w:val="18"/>
              </w:rPr>
            </w:pPr>
          </w:p>
        </w:tc>
      </w:tr>
      <w:tr>
        <w:tblPrEx>
          <w:tblCellMar>
            <w:top w:w="0" w:type="dxa"/>
            <w:left w:w="28" w:type="dxa"/>
            <w:bottom w:w="0" w:type="dxa"/>
            <w:right w:w="28" w:type="dxa"/>
          </w:tblCellMar>
        </w:tblPrEx>
        <w:trPr>
          <w:trHeight w:val="286" w:hRule="atLeast"/>
          <w:jc w:val="center"/>
        </w:trPr>
        <w:tc>
          <w:tcPr>
            <w:tcW w:w="6640"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合计</w:t>
            </w:r>
          </w:p>
        </w:tc>
        <w:tc>
          <w:tcPr>
            <w:tcW w:w="6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100</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98</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sz w:val="18"/>
                <w:szCs w:val="18"/>
              </w:rPr>
            </w:pPr>
          </w:p>
        </w:tc>
      </w:tr>
      <w:tr>
        <w:tblPrEx>
          <w:tblCellMar>
            <w:top w:w="0" w:type="dxa"/>
            <w:left w:w="28" w:type="dxa"/>
            <w:bottom w:w="0" w:type="dxa"/>
            <w:right w:w="28" w:type="dxa"/>
          </w:tblCellMar>
        </w:tblPrEx>
        <w:trPr>
          <w:trHeight w:val="603"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评价结论</w:t>
            </w:r>
          </w:p>
        </w:tc>
        <w:tc>
          <w:tcPr>
            <w:tcW w:w="879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iCs/>
                <w:sz w:val="18"/>
                <w:szCs w:val="18"/>
              </w:rPr>
            </w:pPr>
            <w:r>
              <w:rPr>
                <w:rFonts w:hint="eastAsia" w:ascii="宋体" w:hAnsi="宋体" w:cs="宋体"/>
                <w:kern w:val="0"/>
                <w:sz w:val="18"/>
                <w:szCs w:val="18"/>
                <w:lang w:bidi="ar"/>
              </w:rPr>
              <w:t>该项目主要用于向社会力量购买基本就业创业服务成果，包括公共就业信息数据核查费用、推广应用四川省培训监管平台使用费用、第四届天府杯创业大赛广元选拔赛费用、公共就业信息调查与统计分析费用、公共就业创业服务宣传支出，通过这些项目支出，圆满完成年度城镇增项就业目标任务，确保年末城镇登记失业率保持在目标范围内，项目社会效益明显，群体满意度较高。</w:t>
            </w:r>
          </w:p>
        </w:tc>
      </w:tr>
      <w:tr>
        <w:tblPrEx>
          <w:tblCellMar>
            <w:top w:w="0" w:type="dxa"/>
            <w:left w:w="28" w:type="dxa"/>
            <w:bottom w:w="0" w:type="dxa"/>
            <w:right w:w="28" w:type="dxa"/>
          </w:tblCellMar>
        </w:tblPrEx>
        <w:trPr>
          <w:trHeight w:val="572" w:hRule="atLeast"/>
          <w:jc w:val="center"/>
        </w:trPr>
        <w:tc>
          <w:tcPr>
            <w:tcW w:w="7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存在问题</w:t>
            </w:r>
          </w:p>
        </w:tc>
        <w:tc>
          <w:tcPr>
            <w:tcW w:w="879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iCs/>
                <w:sz w:val="18"/>
                <w:szCs w:val="18"/>
              </w:rPr>
            </w:pPr>
            <w:r>
              <w:rPr>
                <w:rFonts w:hint="eastAsia" w:ascii="宋体" w:hAnsi="宋体" w:cs="宋体"/>
                <w:kern w:val="0"/>
                <w:sz w:val="18"/>
                <w:szCs w:val="18"/>
                <w:lang w:bidi="ar"/>
              </w:rPr>
              <w:t>（1）项目测算标准有待细化，测算准确率有待提高。（2）部分绩效指标编制不合理，绩效指标量化不合理。（3）项目实施进度有待加强，部分支出项目签订合同时间较晚，导致项目不能在年内全部执行完毕，存在合同尾款跨年支付，导致项目实施进度缓慢。</w:t>
            </w:r>
          </w:p>
        </w:tc>
      </w:tr>
      <w:tr>
        <w:tblPrEx>
          <w:tblCellMar>
            <w:top w:w="0" w:type="dxa"/>
            <w:left w:w="28" w:type="dxa"/>
            <w:bottom w:w="0" w:type="dxa"/>
            <w:right w:w="28" w:type="dxa"/>
          </w:tblCellMar>
        </w:tblPrEx>
        <w:trPr>
          <w:trHeight w:val="633" w:hRule="atLeast"/>
          <w:jc w:val="center"/>
        </w:trPr>
        <w:tc>
          <w:tcPr>
            <w:tcW w:w="159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sz w:val="18"/>
                <w:szCs w:val="18"/>
              </w:rPr>
            </w:pPr>
            <w:r>
              <w:rPr>
                <w:rFonts w:hint="eastAsia" w:ascii="宋体" w:hAnsi="宋体" w:cs="宋体"/>
                <w:kern w:val="0"/>
                <w:sz w:val="18"/>
                <w:szCs w:val="18"/>
                <w:lang w:bidi="ar"/>
              </w:rPr>
              <w:t>改进措施</w:t>
            </w:r>
          </w:p>
        </w:tc>
        <w:tc>
          <w:tcPr>
            <w:tcW w:w="7906"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i/>
                <w:iCs/>
                <w:sz w:val="18"/>
                <w:szCs w:val="18"/>
              </w:rPr>
            </w:pPr>
            <w:r>
              <w:rPr>
                <w:rFonts w:hint="eastAsia" w:ascii="宋体" w:hAnsi="宋体" w:cs="宋体"/>
                <w:kern w:val="0"/>
                <w:sz w:val="18"/>
                <w:szCs w:val="18"/>
                <w:lang w:bidi="ar"/>
              </w:rPr>
              <w:t>加强绩效自评工作力度，细化项目测算，完善绩效指标，加快资金支付进度，积极运用评价结果，提高资金使用效率。</w:t>
            </w:r>
          </w:p>
        </w:tc>
      </w:tr>
    </w:tbl>
    <w:p>
      <w:pPr>
        <w:pStyle w:val="2"/>
        <w:spacing w:line="240" w:lineRule="auto"/>
        <w:jc w:val="left"/>
        <w:rPr>
          <w:rFonts w:hint="eastAsia"/>
        </w:rPr>
      </w:pPr>
    </w:p>
    <w:p>
      <w:pPr>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bookmarkStart w:id="164" w:name="_Toc24502"/>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9"/>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bookmarkStart w:id="165" w:name="_Toc16435"/>
      <w:r>
        <w:rPr>
          <w:rFonts w:hint="eastAsia" w:ascii="黑体" w:hAnsi="黑体" w:eastAsia="黑体"/>
          <w:color w:val="auto"/>
          <w:sz w:val="44"/>
          <w:szCs w:val="44"/>
          <w:highlight w:val="none"/>
        </w:rPr>
        <w:t>第</w:t>
      </w:r>
      <w:r>
        <w:rPr>
          <w:rStyle w:val="11"/>
          <w:rFonts w:hint="eastAsia" w:ascii="黑体" w:hAnsi="黑体" w:eastAsia="黑体"/>
          <w:b w:val="0"/>
          <w:color w:val="auto"/>
          <w:highlight w:val="none"/>
        </w:rPr>
        <w:t>五部分 附表</w:t>
      </w:r>
      <w:bookmarkEnd w:id="164"/>
      <w:bookmarkEnd w:id="165"/>
    </w:p>
    <w:p>
      <w:pPr>
        <w:pStyle w:val="4"/>
        <w:rPr>
          <w:rFonts w:ascii="仿宋" w:hAnsi="仿宋" w:eastAsia="仿宋"/>
          <w:color w:val="auto"/>
          <w:highlight w:val="none"/>
        </w:rPr>
      </w:pPr>
      <w:bookmarkStart w:id="166" w:name="_Toc17282"/>
      <w:bookmarkStart w:id="167" w:name="_Toc17616"/>
      <w:r>
        <w:rPr>
          <w:rFonts w:hint="eastAsia" w:ascii="仿宋" w:hAnsi="仿宋" w:eastAsia="仿宋"/>
          <w:b w:val="0"/>
          <w:color w:val="auto"/>
          <w:highlight w:val="none"/>
        </w:rPr>
        <w:t>一、收</w:t>
      </w:r>
      <w:r>
        <w:rPr>
          <w:rStyle w:val="12"/>
          <w:rFonts w:hint="eastAsia" w:ascii="仿宋" w:hAnsi="仿宋" w:eastAsia="仿宋"/>
          <w:b w:val="0"/>
          <w:bCs w:val="0"/>
          <w:color w:val="auto"/>
          <w:highlight w:val="none"/>
        </w:rPr>
        <w:t>入支出决算总表</w:t>
      </w:r>
      <w:bookmarkEnd w:id="166"/>
      <w:bookmarkEnd w:id="167"/>
    </w:p>
    <w:p>
      <w:pPr>
        <w:pStyle w:val="4"/>
        <w:rPr>
          <w:rFonts w:ascii="仿宋" w:hAnsi="仿宋" w:eastAsia="仿宋"/>
          <w:color w:val="auto"/>
          <w:highlight w:val="none"/>
        </w:rPr>
      </w:pPr>
      <w:bookmarkStart w:id="168" w:name="_Toc11411"/>
      <w:bookmarkStart w:id="169" w:name="_Toc9857"/>
      <w:r>
        <w:rPr>
          <w:rFonts w:hint="eastAsia" w:ascii="仿宋" w:hAnsi="仿宋" w:eastAsia="仿宋"/>
          <w:b w:val="0"/>
          <w:color w:val="auto"/>
          <w:highlight w:val="none"/>
        </w:rPr>
        <w:t>二、收</w:t>
      </w:r>
      <w:r>
        <w:rPr>
          <w:rStyle w:val="12"/>
          <w:rFonts w:hint="eastAsia" w:ascii="仿宋" w:hAnsi="仿宋" w:eastAsia="仿宋"/>
          <w:b w:val="0"/>
          <w:bCs w:val="0"/>
          <w:color w:val="auto"/>
          <w:highlight w:val="none"/>
        </w:rPr>
        <w:t>入决算表</w:t>
      </w:r>
      <w:bookmarkEnd w:id="168"/>
      <w:bookmarkEnd w:id="169"/>
    </w:p>
    <w:p>
      <w:pPr>
        <w:pStyle w:val="4"/>
        <w:rPr>
          <w:rFonts w:ascii="仿宋" w:hAnsi="仿宋" w:eastAsia="仿宋"/>
          <w:color w:val="auto"/>
          <w:highlight w:val="none"/>
        </w:rPr>
      </w:pPr>
      <w:bookmarkStart w:id="170" w:name="_Toc1155"/>
      <w:bookmarkStart w:id="171" w:name="_Toc7731"/>
      <w:r>
        <w:rPr>
          <w:rStyle w:val="1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2"/>
          <w:rFonts w:hint="eastAsia" w:ascii="仿宋" w:hAnsi="仿宋" w:eastAsia="仿宋"/>
          <w:b w:val="0"/>
          <w:bCs w:val="0"/>
          <w:color w:val="auto"/>
          <w:highlight w:val="none"/>
        </w:rPr>
        <w:t>出决算表</w:t>
      </w:r>
      <w:bookmarkEnd w:id="170"/>
      <w:bookmarkEnd w:id="171"/>
    </w:p>
    <w:p>
      <w:pPr>
        <w:pStyle w:val="4"/>
        <w:rPr>
          <w:rFonts w:ascii="仿宋" w:hAnsi="仿宋" w:eastAsia="仿宋"/>
          <w:b w:val="0"/>
          <w:color w:val="auto"/>
          <w:highlight w:val="none"/>
        </w:rPr>
      </w:pPr>
      <w:bookmarkStart w:id="172" w:name="_Toc11308"/>
      <w:bookmarkStart w:id="173" w:name="_Toc17485"/>
      <w:r>
        <w:rPr>
          <w:rStyle w:val="1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2"/>
          <w:rFonts w:hint="eastAsia" w:ascii="仿宋" w:hAnsi="仿宋" w:eastAsia="仿宋"/>
          <w:b w:val="0"/>
          <w:bCs w:val="0"/>
          <w:color w:val="auto"/>
          <w:highlight w:val="none"/>
        </w:rPr>
        <w:t>政拨款收入支出决算总表</w:t>
      </w:r>
      <w:bookmarkEnd w:id="172"/>
      <w:bookmarkEnd w:id="173"/>
    </w:p>
    <w:p>
      <w:pPr>
        <w:pStyle w:val="4"/>
        <w:rPr>
          <w:rStyle w:val="12"/>
          <w:rFonts w:ascii="仿宋" w:hAnsi="仿宋" w:eastAsia="仿宋"/>
          <w:b w:val="0"/>
          <w:bCs w:val="0"/>
          <w:color w:val="auto"/>
          <w:highlight w:val="none"/>
        </w:rPr>
      </w:pPr>
      <w:bookmarkStart w:id="174" w:name="_Toc20310"/>
      <w:bookmarkStart w:id="175" w:name="_Toc7357"/>
      <w:r>
        <w:rPr>
          <w:rStyle w:val="1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2"/>
          <w:rFonts w:hint="eastAsia" w:ascii="仿宋" w:hAnsi="仿宋" w:eastAsia="仿宋"/>
          <w:b w:val="0"/>
          <w:bCs w:val="0"/>
          <w:color w:val="auto"/>
          <w:highlight w:val="none"/>
        </w:rPr>
        <w:t>政拨款支出决算明细表</w:t>
      </w:r>
      <w:bookmarkEnd w:id="174"/>
      <w:bookmarkEnd w:id="175"/>
    </w:p>
    <w:p>
      <w:pPr>
        <w:pStyle w:val="4"/>
        <w:rPr>
          <w:rFonts w:ascii="仿宋" w:hAnsi="仿宋" w:eastAsia="仿宋"/>
          <w:color w:val="auto"/>
          <w:highlight w:val="none"/>
        </w:rPr>
      </w:pPr>
      <w:bookmarkStart w:id="176" w:name="_Toc14806"/>
      <w:bookmarkStart w:id="177" w:name="_Toc16418"/>
      <w:r>
        <w:rPr>
          <w:rStyle w:val="1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2"/>
          <w:rFonts w:hint="eastAsia" w:ascii="仿宋" w:hAnsi="仿宋" w:eastAsia="仿宋"/>
          <w:b w:val="0"/>
          <w:bCs w:val="0"/>
          <w:color w:val="auto"/>
          <w:highlight w:val="none"/>
        </w:rPr>
        <w:t>般公共预算财政拨款支出决算表</w:t>
      </w:r>
      <w:bookmarkEnd w:id="176"/>
      <w:bookmarkEnd w:id="177"/>
    </w:p>
    <w:p>
      <w:pPr>
        <w:pStyle w:val="4"/>
        <w:rPr>
          <w:rFonts w:ascii="仿宋" w:hAnsi="仿宋" w:eastAsia="仿宋"/>
          <w:color w:val="auto"/>
          <w:highlight w:val="none"/>
        </w:rPr>
      </w:pPr>
      <w:bookmarkStart w:id="178" w:name="_Toc26884"/>
      <w:bookmarkStart w:id="179" w:name="_Toc22283"/>
      <w:r>
        <w:rPr>
          <w:rStyle w:val="1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2"/>
          <w:rFonts w:hint="eastAsia" w:ascii="仿宋" w:hAnsi="仿宋" w:eastAsia="仿宋"/>
          <w:b w:val="0"/>
          <w:bCs w:val="0"/>
          <w:color w:val="auto"/>
          <w:highlight w:val="none"/>
        </w:rPr>
        <w:t>般公共预算财政拨款支出决算明细表</w:t>
      </w:r>
      <w:bookmarkEnd w:id="178"/>
      <w:bookmarkEnd w:id="179"/>
    </w:p>
    <w:p>
      <w:pPr>
        <w:pStyle w:val="4"/>
        <w:rPr>
          <w:rFonts w:ascii="仿宋" w:hAnsi="仿宋" w:eastAsia="仿宋"/>
          <w:color w:val="auto"/>
          <w:highlight w:val="none"/>
        </w:rPr>
      </w:pPr>
      <w:bookmarkStart w:id="180" w:name="_Toc7997"/>
      <w:bookmarkStart w:id="181" w:name="_Toc10648"/>
      <w:r>
        <w:rPr>
          <w:rStyle w:val="1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2"/>
          <w:rFonts w:hint="eastAsia" w:ascii="仿宋" w:hAnsi="仿宋" w:eastAsia="仿宋"/>
          <w:b w:val="0"/>
          <w:bCs w:val="0"/>
          <w:color w:val="auto"/>
          <w:highlight w:val="none"/>
        </w:rPr>
        <w:t>般公共预算财政拨款基本支出决算表</w:t>
      </w:r>
      <w:bookmarkEnd w:id="180"/>
      <w:bookmarkEnd w:id="181"/>
    </w:p>
    <w:p>
      <w:pPr>
        <w:pStyle w:val="4"/>
        <w:rPr>
          <w:rFonts w:ascii="仿宋" w:hAnsi="仿宋" w:eastAsia="仿宋"/>
          <w:color w:val="auto"/>
          <w:highlight w:val="none"/>
        </w:rPr>
      </w:pPr>
      <w:bookmarkStart w:id="182" w:name="_Toc6370"/>
      <w:bookmarkStart w:id="183" w:name="_Toc1378"/>
      <w:r>
        <w:rPr>
          <w:rStyle w:val="1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2"/>
          <w:rFonts w:hint="eastAsia" w:ascii="仿宋" w:hAnsi="仿宋" w:eastAsia="仿宋"/>
          <w:b w:val="0"/>
          <w:bCs w:val="0"/>
          <w:color w:val="auto"/>
          <w:highlight w:val="none"/>
        </w:rPr>
        <w:t>般公共预算财政拨款项目支出决算表</w:t>
      </w:r>
      <w:bookmarkEnd w:id="182"/>
      <w:bookmarkEnd w:id="183"/>
    </w:p>
    <w:p>
      <w:pPr>
        <w:pStyle w:val="4"/>
        <w:rPr>
          <w:rFonts w:ascii="仿宋" w:hAnsi="仿宋" w:eastAsia="仿宋"/>
          <w:color w:val="auto"/>
          <w:highlight w:val="none"/>
        </w:rPr>
      </w:pPr>
      <w:bookmarkStart w:id="184" w:name="_Toc31795"/>
      <w:bookmarkStart w:id="185" w:name="_Toc20452"/>
      <w:r>
        <w:rPr>
          <w:rStyle w:val="12"/>
          <w:rFonts w:hint="eastAsia" w:ascii="仿宋" w:hAnsi="仿宋" w:eastAsia="仿宋"/>
          <w:b w:val="0"/>
          <w:bCs w:val="0"/>
          <w:color w:val="auto"/>
          <w:highlight w:val="none"/>
        </w:rPr>
        <w:t>十、</w:t>
      </w:r>
      <w:r>
        <w:rPr>
          <w:rFonts w:hint="eastAsia" w:ascii="仿宋" w:hAnsi="仿宋" w:eastAsia="仿宋"/>
          <w:b w:val="0"/>
          <w:color w:val="auto"/>
          <w:highlight w:val="none"/>
        </w:rPr>
        <w:t>政</w:t>
      </w:r>
      <w:r>
        <w:rPr>
          <w:rStyle w:val="12"/>
          <w:rFonts w:hint="eastAsia" w:ascii="仿宋" w:hAnsi="仿宋" w:eastAsia="仿宋"/>
          <w:b w:val="0"/>
          <w:bCs w:val="0"/>
          <w:color w:val="auto"/>
          <w:highlight w:val="none"/>
        </w:rPr>
        <w:t>府性基金预算财政拨款收入支出决算表</w:t>
      </w:r>
      <w:bookmarkEnd w:id="184"/>
      <w:bookmarkEnd w:id="185"/>
    </w:p>
    <w:p>
      <w:pPr>
        <w:pStyle w:val="4"/>
        <w:rPr>
          <w:rFonts w:ascii="仿宋" w:hAnsi="仿宋" w:eastAsia="仿宋"/>
          <w:color w:val="auto"/>
          <w:highlight w:val="none"/>
        </w:rPr>
      </w:pPr>
      <w:bookmarkStart w:id="186" w:name="_Toc11184"/>
      <w:bookmarkStart w:id="187" w:name="_Toc5230"/>
      <w:r>
        <w:rPr>
          <w:rStyle w:val="12"/>
          <w:rFonts w:hint="eastAsia" w:ascii="仿宋" w:hAnsi="仿宋" w:eastAsia="仿宋"/>
          <w:b w:val="0"/>
          <w:bCs w:val="0"/>
          <w:color w:val="auto"/>
          <w:highlight w:val="none"/>
        </w:rPr>
        <w:t>十一、</w:t>
      </w:r>
      <w:r>
        <w:rPr>
          <w:rFonts w:hint="eastAsia" w:ascii="仿宋" w:hAnsi="仿宋" w:eastAsia="仿宋"/>
          <w:b w:val="0"/>
          <w:color w:val="auto"/>
          <w:highlight w:val="none"/>
        </w:rPr>
        <w:t>国</w:t>
      </w:r>
      <w:r>
        <w:rPr>
          <w:rStyle w:val="12"/>
          <w:rFonts w:hint="eastAsia" w:ascii="仿宋" w:hAnsi="仿宋" w:eastAsia="仿宋"/>
          <w:b w:val="0"/>
          <w:bCs w:val="0"/>
          <w:color w:val="auto"/>
          <w:highlight w:val="none"/>
        </w:rPr>
        <w:t>有资本经营预算</w:t>
      </w:r>
      <w:r>
        <w:rPr>
          <w:rStyle w:val="12"/>
          <w:rFonts w:hint="eastAsia" w:ascii="仿宋" w:hAnsi="仿宋" w:eastAsia="仿宋"/>
          <w:b w:val="0"/>
          <w:bCs w:val="0"/>
          <w:color w:val="auto"/>
          <w:highlight w:val="none"/>
          <w:lang w:eastAsia="zh-CN"/>
        </w:rPr>
        <w:t>财政拨款收入</w:t>
      </w:r>
      <w:r>
        <w:rPr>
          <w:rStyle w:val="12"/>
          <w:rFonts w:hint="eastAsia" w:ascii="仿宋" w:hAnsi="仿宋" w:eastAsia="仿宋"/>
          <w:b w:val="0"/>
          <w:bCs w:val="0"/>
          <w:color w:val="auto"/>
          <w:highlight w:val="none"/>
        </w:rPr>
        <w:t>支出决算表</w:t>
      </w:r>
      <w:bookmarkEnd w:id="186"/>
      <w:bookmarkEnd w:id="187"/>
    </w:p>
    <w:p>
      <w:pPr>
        <w:pStyle w:val="4"/>
        <w:rPr>
          <w:rFonts w:ascii="仿宋" w:hAnsi="仿宋" w:eastAsia="仿宋"/>
          <w:color w:val="auto"/>
          <w:highlight w:val="none"/>
        </w:rPr>
      </w:pPr>
      <w:bookmarkStart w:id="188" w:name="_Toc24977"/>
      <w:bookmarkStart w:id="189" w:name="_Toc29275"/>
      <w:r>
        <w:rPr>
          <w:rStyle w:val="12"/>
          <w:rFonts w:hint="eastAsia" w:ascii="仿宋" w:hAnsi="仿宋" w:eastAsia="仿宋"/>
          <w:b w:val="0"/>
          <w:bCs w:val="0"/>
          <w:color w:val="auto"/>
          <w:highlight w:val="none"/>
        </w:rPr>
        <w:t>十二、</w:t>
      </w:r>
      <w:r>
        <w:rPr>
          <w:rStyle w:val="12"/>
          <w:rFonts w:hint="eastAsia" w:ascii="仿宋" w:hAnsi="仿宋" w:eastAsia="仿宋"/>
          <w:b w:val="0"/>
          <w:bCs w:val="0"/>
          <w:color w:val="auto"/>
          <w:highlight w:val="none"/>
          <w:lang w:eastAsia="zh-CN"/>
        </w:rPr>
        <w:t>国有资本经营预算财政拨款支出决算表</w:t>
      </w:r>
      <w:bookmarkEnd w:id="188"/>
      <w:bookmarkEnd w:id="189"/>
    </w:p>
    <w:p>
      <w:pPr>
        <w:pStyle w:val="4"/>
        <w:rPr>
          <w:rFonts w:hint="eastAsia" w:eastAsia="仿宋"/>
          <w:color w:val="auto"/>
          <w:highlight w:val="none"/>
          <w:lang w:eastAsia="zh-CN"/>
        </w:rPr>
      </w:pPr>
      <w:bookmarkStart w:id="190" w:name="_Toc11302"/>
      <w:bookmarkStart w:id="191" w:name="_Toc25488"/>
      <w:r>
        <w:rPr>
          <w:rStyle w:val="12"/>
          <w:rFonts w:hint="eastAsia" w:ascii="仿宋" w:hAnsi="仿宋" w:eastAsia="仿宋"/>
          <w:b w:val="0"/>
          <w:bCs w:val="0"/>
          <w:color w:val="auto"/>
          <w:highlight w:val="none"/>
        </w:rPr>
        <w:t>十三、</w:t>
      </w:r>
      <w:r>
        <w:rPr>
          <w:rStyle w:val="12"/>
          <w:rFonts w:hint="eastAsia" w:ascii="仿宋" w:hAnsi="仿宋" w:eastAsia="仿宋"/>
          <w:b w:val="0"/>
          <w:bCs w:val="0"/>
          <w:color w:val="auto"/>
          <w:highlight w:val="none"/>
          <w:lang w:eastAsia="zh-CN"/>
        </w:rPr>
        <w:t>财政拨款“三公”经费支出决算表</w:t>
      </w:r>
      <w:bookmarkEnd w:id="190"/>
      <w:bookmarkEnd w:id="191"/>
    </w:p>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FB" w:usb2="0000002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
    <w:altName w:val="宋体"/>
    <w:panose1 w:val="02010609060101010101"/>
    <w:charset w:val="86"/>
    <w:family w:val="modern"/>
    <w:pitch w:val="default"/>
    <w:sig w:usb0="00000000" w:usb1="00000000"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w:panose1 w:val="020B0602030504020204"/>
    <w:charset w:val="00"/>
    <w:family w:val="auto"/>
    <w:pitch w:val="default"/>
    <w:sig w:usb0="00000000" w:usb1="00000000" w:usb2="00000000" w:usb3="00000000" w:csb0="00000000" w:csb1="00000000"/>
  </w:font>
  <w:font w:name="Comic Sans MS">
    <w:panose1 w:val="030F0702030302020204"/>
    <w:charset w:val="00"/>
    <w:family w:val="auto"/>
    <w:pitch w:val="default"/>
    <w:sig w:usb0="00000287" w:usb1="00000000" w:usb2="00000000" w:usb3="00000000" w:csb0="2000009F"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80F15"/>
    <w:multiLevelType w:val="singleLevel"/>
    <w:tmpl w:val="B8E80F15"/>
    <w:lvl w:ilvl="0" w:tentative="0">
      <w:start w:val="1"/>
      <w:numFmt w:val="decimal"/>
      <w:suff w:val="nothing"/>
      <w:lvlText w:val="%1．"/>
      <w:lvlJc w:val="left"/>
      <w:pPr>
        <w:ind w:left="0" w:firstLine="400"/>
      </w:pPr>
      <w:rPr>
        <w:rFonts w:hint="default"/>
      </w:rPr>
    </w:lvl>
  </w:abstractNum>
  <w:abstractNum w:abstractNumId="1">
    <w:nsid w:val="12269CE1"/>
    <w:multiLevelType w:val="singleLevel"/>
    <w:tmpl w:val="12269CE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1C7B5415"/>
    <w:rsid w:val="013627B1"/>
    <w:rsid w:val="03A34A22"/>
    <w:rsid w:val="04F03C97"/>
    <w:rsid w:val="05355B4E"/>
    <w:rsid w:val="07C136C9"/>
    <w:rsid w:val="0DF465A6"/>
    <w:rsid w:val="0FC65D20"/>
    <w:rsid w:val="185F6D12"/>
    <w:rsid w:val="1C7B5415"/>
    <w:rsid w:val="22A852B6"/>
    <w:rsid w:val="23365EEC"/>
    <w:rsid w:val="3F1E2BD3"/>
    <w:rsid w:val="3F533FCF"/>
    <w:rsid w:val="41AF045B"/>
    <w:rsid w:val="429F6998"/>
    <w:rsid w:val="44EB79FC"/>
    <w:rsid w:val="46B81B60"/>
    <w:rsid w:val="490B346E"/>
    <w:rsid w:val="49755AE6"/>
    <w:rsid w:val="49FA5FEB"/>
    <w:rsid w:val="4A361719"/>
    <w:rsid w:val="5EDE46AC"/>
    <w:rsid w:val="66680A54"/>
    <w:rsid w:val="683A1F7D"/>
    <w:rsid w:val="69083E29"/>
    <w:rsid w:val="691842DC"/>
    <w:rsid w:val="6AB46016"/>
    <w:rsid w:val="6ED53C62"/>
    <w:rsid w:val="6FB8233D"/>
    <w:rsid w:val="70D50A94"/>
    <w:rsid w:val="71B21BE2"/>
    <w:rsid w:val="730E64E0"/>
    <w:rsid w:val="77E93077"/>
    <w:rsid w:val="7B51340D"/>
    <w:rsid w:val="7C85329C"/>
    <w:rsid w:val="DFEF30A9"/>
    <w:rsid w:val="E5FE0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link w:val="1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2"/>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character" w:styleId="10">
    <w:name w:val="Strong"/>
    <w:basedOn w:val="9"/>
    <w:qFormat/>
    <w:uiPriority w:val="99"/>
    <w:rPr>
      <w:b/>
    </w:rPr>
  </w:style>
  <w:style w:type="character" w:customStyle="1" w:styleId="11">
    <w:name w:val="标题 1 Char"/>
    <w:basedOn w:val="9"/>
    <w:link w:val="3"/>
    <w:qFormat/>
    <w:uiPriority w:val="9"/>
    <w:rPr>
      <w:b/>
      <w:bCs/>
      <w:kern w:val="44"/>
      <w:sz w:val="44"/>
      <w:szCs w:val="44"/>
    </w:rPr>
  </w:style>
  <w:style w:type="character" w:customStyle="1" w:styleId="12">
    <w:name w:val="标题 2 Char"/>
    <w:basedOn w:val="9"/>
    <w:link w:val="4"/>
    <w:qFormat/>
    <w:uiPriority w:val="9"/>
    <w:rPr>
      <w:rFonts w:ascii="Cambria" w:hAnsi="Cambria" w:eastAsia="宋体" w:cs="Times New Roman"/>
      <w:b/>
      <w:bCs/>
      <w:sz w:val="32"/>
      <w:szCs w:val="32"/>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常用样式（方正仿宋简）"/>
    <w:basedOn w:val="1"/>
    <w:qFormat/>
    <w:uiPriority w:val="0"/>
    <w:pPr>
      <w:spacing w:line="560" w:lineRule="exact"/>
      <w:ind w:firstLine="200" w:firstLineChars="200"/>
    </w:pPr>
    <w:rPr>
      <w:rFonts w:eastAsia="方正仿宋简体"/>
      <w:sz w:val="32"/>
    </w:rPr>
  </w:style>
  <w:style w:type="paragraph" w:customStyle="1" w:styleId="16">
    <w:name w:val="List Paragraph"/>
    <w:basedOn w:val="1"/>
    <w:qFormat/>
    <w:uiPriority w:val="34"/>
    <w:pPr>
      <w:ind w:firstLine="420" w:firstLineChars="200"/>
    </w:pPr>
  </w:style>
  <w:style w:type="paragraph" w:customStyle="1" w:styleId="1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2833;&#19994;&#20445;&#38505;&#30465;&#32423;&#32479;&#31609;&#35745;&#2101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2833;&#19994;&#20445;&#38505;&#30465;&#32423;&#32479;&#31609;&#35745;&#2101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22833;&#19994;&#20445;&#38505;&#30465;&#32423;&#32479;&#31609;&#35745;&#2101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22833;&#19994;&#20445;&#38505;&#30465;&#32423;&#32479;&#31609;&#35745;&#2101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2833;&#19994;&#20445;&#38505;&#30465;&#32423;&#32479;&#31609;&#35745;&#2101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2833;&#19994;&#20445;&#38505;&#30465;&#32423;&#32479;&#31609;&#35745;&#2101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2833;&#19994;&#20445;&#38505;&#30465;&#32423;&#32479;&#31609;&#35745;&#2101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5436122166078"/>
          <c:y val="0.0394438138479001"/>
          <c:w val="0.845447368421053"/>
          <c:h val="0.740833333333333"/>
        </c:manualLayout>
      </c:layout>
      <c:barChart>
        <c:barDir val="col"/>
        <c:grouping val="clustered"/>
        <c:varyColors val="false"/>
        <c:ser>
          <c:idx val="0"/>
          <c:order val="0"/>
          <c:tx>
            <c:strRef>
              <c:f>[失业保险省级统筹计划表.xlsx]Sheet1!$B$1</c:f>
              <c:strCache>
                <c:ptCount val="1"/>
                <c:pt idx="0">
                  <c:v>金额</c:v>
                </c:pt>
              </c:strCache>
            </c:strRef>
          </c:tx>
          <c:spPr>
            <a:solidFill>
              <a:srgbClr val="4F81BD"/>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t>866.73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[失业保险省级统筹计划表.xlsx]Sheet1!$A$2:$A$3</c:f>
              <c:strCache>
                <c:ptCount val="2"/>
                <c:pt idx="0">
                  <c:v>2022年</c:v>
                </c:pt>
                <c:pt idx="1">
                  <c:v>2023年</c:v>
                </c:pt>
              </c:strCache>
            </c:strRef>
          </c:cat>
          <c:val>
            <c:numRef>
              <c:f>[失业保险省级统筹计划表.xlsx]Sheet1!$B$2:$B$3</c:f>
              <c:numCache>
                <c:formatCode>General</c:formatCode>
                <c:ptCount val="2"/>
                <c:pt idx="0">
                  <c:v>866.73</c:v>
                </c:pt>
                <c:pt idx="1">
                  <c:v>849.44</c:v>
                </c:pt>
              </c:numCache>
            </c:numRef>
          </c:val>
        </c:ser>
        <c:dLbls>
          <c:showLegendKey val="false"/>
          <c:showVal val="true"/>
          <c:showCatName val="false"/>
          <c:showSerName val="false"/>
          <c:showPercent val="false"/>
          <c:showBubbleSize val="false"/>
        </c:dLbls>
        <c:gapWidth val="246"/>
        <c:overlap val="-28"/>
        <c:axId val="767128644"/>
        <c:axId val="167974540"/>
      </c:barChart>
      <c:catAx>
        <c:axId val="76712864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167974540"/>
        <c:crosses val="autoZero"/>
        <c:auto val="true"/>
        <c:lblAlgn val="ctr"/>
        <c:lblOffset val="100"/>
        <c:noMultiLvlLbl val="false"/>
      </c:catAx>
      <c:valAx>
        <c:axId val="167974540"/>
        <c:scaling>
          <c:orientation val="minMax"/>
        </c:scaling>
        <c:delete val="false"/>
        <c:axPos val="l"/>
        <c:majorGridlines>
          <c:spPr>
            <a:ln w="9525" cap="flat" cmpd="sng" algn="ctr">
              <a:solidFill>
                <a:srgbClr val="E6E6E6">
                  <a:lumMod val="90200"/>
                </a:srgb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金额（万元）</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767128644"/>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rgbClr val="404040">
                    <a:lumMod val="75000"/>
                    <a:lumOff val="25000"/>
                  </a:srgbClr>
                </a:solidFill>
                <a:latin typeface="+mn-lt"/>
                <a:ea typeface="+mn-ea"/>
                <a:cs typeface="+mn-cs"/>
              </a:defRPr>
            </a:pPr>
            <a:r>
              <a:t>一般公共预算财政拨款收入</a:t>
            </a:r>
          </a:p>
        </c:rich>
      </c:tx>
      <c:layout/>
      <c:overlay val="false"/>
      <c:spPr>
        <a:noFill/>
        <a:ln>
          <a:noFill/>
        </a:ln>
        <a:effectLst/>
      </c:spPr>
    </c:title>
    <c:autoTitleDeleted val="false"/>
    <c:plotArea>
      <c:layout/>
      <c:pieChart>
        <c:varyColors val="true"/>
        <c:ser>
          <c:idx val="0"/>
          <c:order val="0"/>
          <c:tx>
            <c:strRef>
              <c:f>[失业保险省级统筹计划表.xlsx]Sheet1!$A$25:$B$25</c:f>
              <c:strCache>
                <c:ptCount val="1"/>
                <c:pt idx="0">
                  <c:v>一般公共预算财政拨款收入 849.44万元</c:v>
                </c:pt>
              </c:strCache>
            </c:strRef>
          </c:tx>
          <c:spPr/>
          <c:explosion val="0"/>
          <c:dPt>
            <c:idx val="0"/>
            <c:bubble3D val="false"/>
            <c:spPr>
              <a:solidFill>
                <a:srgbClr val="4F81BD"/>
              </a:solidFill>
              <a:ln>
                <a:solidFill>
                  <a:srgbClr val="FFFFFF"/>
                </a:solidFill>
              </a:ln>
              <a:effectLst/>
            </c:spPr>
          </c:dPt>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t>100%</a:t>
                    </a:r>
                  </a:p>
                </c:rich>
              </c:tx>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val>
            <c:numRef>
              <c:f>[失业保险省级统筹计划表.xlsx]Sheet1!$C$25</c:f>
              <c:numCache>
                <c:formatCode>0%</c:formatCode>
                <c:ptCount val="1"/>
                <c:pt idx="0">
                  <c:v>1</c:v>
                </c:pt>
              </c:numCache>
            </c:numRef>
          </c:val>
        </c:ser>
        <c:dLbls>
          <c:showLegendKey val="false"/>
          <c:showVal val="false"/>
          <c:showCatName val="true"/>
          <c:showSerName val="false"/>
          <c:showPercent val="true"/>
          <c:showBubbleSize val="false"/>
          <c:showLeaderLines val="true"/>
        </c:dLbls>
        <c:firstSliceAng val="0"/>
      </c:pieChart>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rgbClr val="404040">
                    <a:lumMod val="75000"/>
                    <a:lumOff val="25000"/>
                  </a:srgbClr>
                </a:solidFill>
                <a:latin typeface="+mn-lt"/>
                <a:ea typeface="+mn-ea"/>
                <a:cs typeface="+mn-cs"/>
              </a:defRPr>
            </a:pPr>
            <a:r>
              <a:rPr lang="en-US" altLang="zh-CN"/>
              <a:t>2023</a:t>
            </a:r>
            <a:r>
              <a:rPr altLang="en-US"/>
              <a:t>年度</a:t>
            </a:r>
            <a:endParaRPr altLang="en-US"/>
          </a:p>
        </c:rich>
      </c:tx>
      <c:layout/>
      <c:overlay val="false"/>
      <c:spPr>
        <a:noFill/>
        <a:ln>
          <a:noFill/>
        </a:ln>
        <a:effectLst/>
      </c:spPr>
    </c:title>
    <c:autoTitleDeleted val="false"/>
    <c:plotArea>
      <c:layout/>
      <c:pieChart>
        <c:varyColors val="true"/>
        <c:ser>
          <c:idx val="0"/>
          <c:order val="0"/>
          <c:spPr/>
          <c:explosion val="0"/>
          <c:dPt>
            <c:idx val="0"/>
            <c:bubble3D val="false"/>
            <c:spPr>
              <a:solidFill>
                <a:srgbClr val="4F81BD"/>
              </a:solidFill>
              <a:ln>
                <a:solidFill>
                  <a:srgbClr val="FFFFFF"/>
                </a:solidFill>
              </a:ln>
              <a:effectLst/>
            </c:spPr>
          </c:dPt>
          <c:dPt>
            <c:idx val="1"/>
            <c:bubble3D val="false"/>
            <c:spPr>
              <a:solidFill>
                <a:srgbClr val="C0504D"/>
              </a:solidFill>
              <a:ln>
                <a:solidFill>
                  <a:srgbClr val="FFFFFF"/>
                </a:solidFill>
              </a:ln>
              <a:effectLst/>
            </c:spPr>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[失业保险省级统筹计划表.xlsx]Sheet1!$A$41:$A$42</c:f>
              <c:strCache>
                <c:ptCount val="2"/>
                <c:pt idx="0">
                  <c:v>基本支出</c:v>
                </c:pt>
                <c:pt idx="1">
                  <c:v>项目支出</c:v>
                </c:pt>
              </c:strCache>
            </c:strRef>
          </c:cat>
          <c:val>
            <c:numRef>
              <c:f>[失业保险省级统筹计划表.xlsx]Sheet1!$B$41:$B$42</c:f>
              <c:numCache>
                <c:formatCode>0%</c:formatCode>
                <c:ptCount val="2"/>
                <c:pt idx="0">
                  <c:v>0.77</c:v>
                </c:pt>
                <c:pt idx="1">
                  <c:v>0.23</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50304543218709"/>
          <c:y val="0.028524522881182"/>
          <c:w val="0.845447368421053"/>
          <c:h val="0.740833333333333"/>
        </c:manualLayout>
      </c:layout>
      <c:barChart>
        <c:barDir val="col"/>
        <c:grouping val="clustered"/>
        <c:varyColors val="false"/>
        <c:ser>
          <c:idx val="0"/>
          <c:order val="0"/>
          <c:tx>
            <c:strRef>
              <c:f>[失业保险省级统筹计划表.xlsx]Sheet1!$B$1</c:f>
              <c:strCache>
                <c:ptCount val="1"/>
                <c:pt idx="0">
                  <c:v>金额</c:v>
                </c:pt>
              </c:strCache>
            </c:strRef>
          </c:tx>
          <c:spPr>
            <a:solidFill>
              <a:srgbClr val="4F81BD"/>
            </a:solidFill>
            <a:ln>
              <a:noFill/>
            </a:ln>
            <a:effectLst/>
          </c:spPr>
          <c:invertIfNegative val="false"/>
          <c:dLbls>
            <c:dLbl>
              <c:idx val="0"/>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t>866.73</a:t>
                    </a:r>
                    <a:endParaRPr lang="en-US" altLang="zh-CN"/>
                  </a:p>
                </c:rich>
              </c:tx>
              <c:dLblPos val="outEnd"/>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[失业保险省级统筹计划表.xlsx]Sheet1!$A$2:$A$3</c:f>
              <c:strCache>
                <c:ptCount val="2"/>
                <c:pt idx="0">
                  <c:v>2022年</c:v>
                </c:pt>
                <c:pt idx="1">
                  <c:v>2023年</c:v>
                </c:pt>
              </c:strCache>
            </c:strRef>
          </c:cat>
          <c:val>
            <c:numRef>
              <c:f>[失业保险省级统筹计划表.xlsx]Sheet1!$B$2:$B$3</c:f>
              <c:numCache>
                <c:formatCode>General</c:formatCode>
                <c:ptCount val="2"/>
                <c:pt idx="0">
                  <c:v>866.73</c:v>
                </c:pt>
                <c:pt idx="1">
                  <c:v>849.44</c:v>
                </c:pt>
              </c:numCache>
            </c:numRef>
          </c:val>
        </c:ser>
        <c:dLbls>
          <c:showLegendKey val="false"/>
          <c:showVal val="true"/>
          <c:showCatName val="false"/>
          <c:showSerName val="false"/>
          <c:showPercent val="false"/>
          <c:showBubbleSize val="false"/>
        </c:dLbls>
        <c:gapWidth val="246"/>
        <c:overlap val="-28"/>
        <c:axId val="767128644"/>
        <c:axId val="167974540"/>
      </c:barChart>
      <c:catAx>
        <c:axId val="767128644"/>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167974540"/>
        <c:crosses val="autoZero"/>
        <c:auto val="true"/>
        <c:lblAlgn val="ctr"/>
        <c:lblOffset val="100"/>
        <c:noMultiLvlLbl val="false"/>
      </c:catAx>
      <c:valAx>
        <c:axId val="167974540"/>
        <c:scaling>
          <c:orientation val="minMax"/>
        </c:scaling>
        <c:delete val="false"/>
        <c:axPos val="l"/>
        <c:majorGridlines>
          <c:spPr>
            <a:ln w="9525" cap="flat" cmpd="sng" algn="ctr">
              <a:solidFill>
                <a:srgbClr val="E6E6E6">
                  <a:lumMod val="90200"/>
                </a:srgb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金额（万元）</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767128644"/>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barChart>
        <c:barDir val="col"/>
        <c:grouping val="clustered"/>
        <c:varyColors val="false"/>
        <c:ser>
          <c:idx val="0"/>
          <c:order val="0"/>
          <c:tx>
            <c:strRef>
              <c:f>[失业保险省级统筹计划表.xlsx]Sheet1!$B$51</c:f>
              <c:strCache>
                <c:ptCount val="1"/>
                <c:pt idx="0">
                  <c:v>金额</c:v>
                </c:pt>
              </c:strCache>
            </c:strRef>
          </c:tx>
          <c:spPr>
            <a:solidFill>
              <a:srgbClr val="4F81BD"/>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[失业保险省级统筹计划表.xlsx]Sheet1!$A$52:$A$53</c:f>
              <c:strCache>
                <c:ptCount val="2"/>
                <c:pt idx="0">
                  <c:v>2022年</c:v>
                </c:pt>
                <c:pt idx="1">
                  <c:v>2023年</c:v>
                </c:pt>
              </c:strCache>
            </c:strRef>
          </c:cat>
          <c:val>
            <c:numRef>
              <c:f>[失业保险省级统筹计划表.xlsx]Sheet1!$B$52:$B$53</c:f>
              <c:numCache>
                <c:formatCode>General</c:formatCode>
                <c:ptCount val="2"/>
                <c:pt idx="0">
                  <c:v>850.48</c:v>
                </c:pt>
                <c:pt idx="1">
                  <c:v>849.44</c:v>
                </c:pt>
              </c:numCache>
            </c:numRef>
          </c:val>
        </c:ser>
        <c:dLbls>
          <c:showLegendKey val="false"/>
          <c:showVal val="true"/>
          <c:showCatName val="false"/>
          <c:showSerName val="false"/>
          <c:showPercent val="false"/>
          <c:showBubbleSize val="false"/>
        </c:dLbls>
        <c:gapWidth val="150"/>
        <c:overlap val="0"/>
        <c:axId val="199404918"/>
        <c:axId val="512124277"/>
      </c:barChart>
      <c:catAx>
        <c:axId val="199404918"/>
        <c:scaling>
          <c:orientation val="minMax"/>
        </c:scaling>
        <c:delete val="false"/>
        <c:axPos val="b"/>
        <c:title>
          <c:tx>
            <c:rich>
              <a:bodyPr rot="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年度</a:t>
                </a:r>
              </a:p>
            </c:rich>
          </c:tx>
          <c:layout/>
          <c:overlay val="false"/>
          <c:spPr>
            <a:noFill/>
            <a:ln>
              <a:noFill/>
            </a:ln>
            <a:effectLst/>
          </c:spPr>
        </c:title>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512124277"/>
        <c:crosses val="autoZero"/>
        <c:auto val="true"/>
        <c:lblAlgn val="ctr"/>
        <c:lblOffset val="100"/>
        <c:noMultiLvlLbl val="false"/>
      </c:catAx>
      <c:valAx>
        <c:axId val="512124277"/>
        <c:scaling>
          <c:orientation val="minMax"/>
        </c:scaling>
        <c:delete val="false"/>
        <c:axPos val="l"/>
        <c:majorGridlines>
          <c:spPr>
            <a:ln w="9525" cap="flat" cmpd="sng" algn="ctr">
              <a:solidFill>
                <a:srgbClr val="E6E6E6">
                  <a:lumMod val="90200"/>
                </a:srgbClr>
              </a:solidFill>
              <a:round/>
            </a:ln>
            <a:effectLst/>
          </c:spPr>
        </c:majorGridlines>
        <c:title>
          <c:tx>
            <c:rich>
              <a:bodyPr rot="-5400000" spcFirstLastPara="0" vertOverflow="ellipsis" vert="horz" wrap="square" anchor="ctr" anchorCtr="true"/>
              <a:lstStyle/>
              <a:p>
                <a:pPr defTabSz="914400">
                  <a:defRPr lang="zh-CN" sz="1000" b="0" i="0" u="none" strike="noStrike" kern="1200" baseline="0">
                    <a:solidFill>
                      <a:srgbClr val="595959">
                        <a:lumMod val="65000"/>
                        <a:lumOff val="35000"/>
                      </a:srgbClr>
                    </a:solidFill>
                    <a:latin typeface="+mn-lt"/>
                    <a:ea typeface="+mn-ea"/>
                    <a:cs typeface="+mn-cs"/>
                  </a:defRPr>
                </a:pPr>
                <a:r>
                  <a:t>金额（万元）</a:t>
                </a:r>
              </a:p>
            </c:rich>
          </c:tx>
          <c:layout/>
          <c:overlay val="false"/>
          <c:spPr>
            <a:noFill/>
            <a:ln>
              <a:noFill/>
            </a:ln>
            <a:effectLst/>
          </c:spPr>
        </c:title>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crossAx val="199404918"/>
        <c:crosses val="autoZero"/>
        <c:crossBetween val="between"/>
      </c:valAx>
      <c:spPr>
        <a:noFill/>
        <a:ln>
          <a:noFill/>
        </a:ln>
        <a:effectLst/>
      </c:spPr>
    </c:plotArea>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rgbClr val="4F81BD"/>
              </a:solidFill>
              <a:ln>
                <a:solidFill>
                  <a:srgbClr val="FFFFFF"/>
                </a:solidFill>
              </a:ln>
              <a:effectLst/>
            </c:spPr>
          </c:dPt>
          <c:dPt>
            <c:idx val="1"/>
            <c:bubble3D val="false"/>
            <c:spPr>
              <a:solidFill>
                <a:srgbClr val="C0504D"/>
              </a:solidFill>
              <a:ln>
                <a:solidFill>
                  <a:srgbClr val="FFFFFF"/>
                </a:solidFill>
              </a:ln>
              <a:effectLst/>
            </c:spPr>
          </c:dPt>
          <c:dPt>
            <c:idx val="2"/>
            <c:bubble3D val="false"/>
            <c:spPr>
              <a:solidFill>
                <a:srgbClr val="9BBB59"/>
              </a:solidFill>
              <a:ln>
                <a:solidFill>
                  <a:srgbClr val="FFFFFF"/>
                </a:solidFill>
              </a:ln>
              <a:effectLst/>
            </c:spPr>
          </c:dPt>
          <c:dPt>
            <c:idx val="3"/>
            <c:bubble3D val="false"/>
            <c:spPr>
              <a:solidFill>
                <a:srgbClr val="8064A2"/>
              </a:solidFill>
              <a:ln>
                <a:solidFill>
                  <a:srgbClr val="FFFFFF"/>
                </a:solidFill>
              </a:ln>
              <a:effectLst/>
            </c:spPr>
          </c:dPt>
          <c:dLbls>
            <c:dLbl>
              <c:idx val="1"/>
              <c:layout>
                <c:manualLayout>
                  <c:x val="-0.0498255569066978"/>
                  <c:y val="0.0200500634768898"/>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t>2</a:t>
                    </a:r>
                    <a:r>
                      <a:rPr lang="en-US" altLang="zh-CN"/>
                      <a:t>.1</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2"/>
              <c:layout>
                <c:manualLayout>
                  <c:x val="0.00617070485054918"/>
                  <c:y val="-0.0842378701650545"/>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rPr lang="en-US" altLang="zh-CN"/>
                      <a:t>0.5</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ext>
              </c:extLst>
            </c:dLbl>
            <c:dLbl>
              <c:idx val="3"/>
              <c:layout>
                <c:manualLayout>
                  <c:x val="0.0195200110479239"/>
                  <c:y val="0.0763888888888889"/>
                </c:manualLayout>
              </c:layout>
              <c:tx>
                <c:rich>
                  <a:bodyPr rot="0" spcFirstLastPara="0" vertOverflow="ellipsis" vert="horz" wrap="square" lIns="38100" tIns="19050" rIns="38100" bIns="19050" anchor="ctr" anchorCtr="true"/>
                  <a:lstStyle/>
                  <a:p>
                    <a:pPr defTabSz="914400">
                      <a:defRPr lang="zh-CN" sz="1000" b="0" i="0" u="none" strike="noStrike" kern="1200" baseline="0">
                        <a:solidFill>
                          <a:srgbClr val="404040">
                            <a:lumMod val="75000"/>
                            <a:lumOff val="25000"/>
                          </a:srgbClr>
                        </a:solidFill>
                        <a:latin typeface="+mn-lt"/>
                        <a:ea typeface="+mn-ea"/>
                        <a:cs typeface="+mn-cs"/>
                      </a:defRPr>
                    </a:pPr>
                    <a:r>
                      <a:rPr lang="en-US" altLang="zh-CN"/>
                      <a:t>5.4</a:t>
                    </a:r>
                    <a:r>
                      <a:t>%</a:t>
                    </a:r>
                  </a:p>
                </c:rich>
              </c:tx>
              <c:dLblPos val="bestFit"/>
              <c:showLegendKey val="false"/>
              <c:showVal val="false"/>
              <c:showCatName val="false"/>
              <c:showSerName val="false"/>
              <c:showPercent val="true"/>
              <c:showBubbleSize val="false"/>
              <c:extLst>
                <c:ext xmlns:c15="http://schemas.microsoft.com/office/drawing/2012/chart" uri="{CE6537A1-D6FC-4f65-9D91-7224C49458BB}">
                  <c15:layout>
                    <c:manualLayout>
                      <c:w val="0.0685526315789474"/>
                      <c:h val="0.141203703703704"/>
                    </c:manualLayout>
                  </c15:layout>
                </c:ext>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[失业保险省级统筹计划表.xlsx]Sheet1!$A$66:$A$69</c:f>
              <c:strCache>
                <c:ptCount val="4"/>
                <c:pt idx="0">
                  <c:v>社会保障和就业（类）支出</c:v>
                </c:pt>
                <c:pt idx="1">
                  <c:v>卫生健康支出</c:v>
                </c:pt>
                <c:pt idx="2">
                  <c:v>农林水支出</c:v>
                </c:pt>
                <c:pt idx="3">
                  <c:v>住房保障支出</c:v>
                </c:pt>
              </c:strCache>
            </c:strRef>
          </c:cat>
          <c:val>
            <c:numRef>
              <c:f>[失业保险省级统筹计划表.xlsx]Sheet1!$B$66:$B$69</c:f>
              <c:numCache>
                <c:formatCode>0%</c:formatCode>
                <c:ptCount val="4"/>
                <c:pt idx="0">
                  <c:v>0.92</c:v>
                </c:pt>
                <c:pt idx="1" c:formatCode="0.00%">
                  <c:v>0.021</c:v>
                </c:pt>
                <c:pt idx="2" c:formatCode="0.00%">
                  <c:v>0.005</c:v>
                </c:pt>
                <c:pt idx="3" c:formatCode="0.00%">
                  <c:v>0.054</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r"/>
      <c:layout/>
      <c:overlay val="false"/>
      <c:spPr>
        <a:noFill/>
        <a:ln>
          <a:noFill/>
        </a:ln>
        <a:effectLst/>
      </c:spPr>
      <c:txPr>
        <a:bodyPr rot="0" spcFirstLastPara="0" vertOverflow="ellipsis" vert="horz" wrap="square" anchor="ctr" anchorCtr="true"/>
        <a:lstStyle/>
        <a:p>
          <a:pPr>
            <a:defRPr lang="zh-CN" sz="900" b="0" i="0" u="none" strike="noStrike" kern="1200" baseline="0">
              <a:solidFill>
                <a:srgbClr val="595959">
                  <a:lumMod val="65000"/>
                  <a:lumOff val="35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a:ln w="15875">
              <a:solidFill>
                <a:srgbClr val="FFFFFF"/>
              </a:solidFill>
            </a:ln>
            <a:effectLst>
              <a:outerShdw blurRad="50800" dist="38100" dir="2700000" algn="tl" rotWithShape="0">
                <a:prstClr val="black">
                  <a:alpha val="40000"/>
                </a:prstClr>
              </a:outerShdw>
            </a:effectLst>
            <a:sp3d contourW="15875"/>
          </c:spPr>
          <c:explosion val="0"/>
          <c:dPt>
            <c:idx val="0"/>
            <c:bubble3D val="false"/>
            <c:spPr>
              <a:gradFill>
                <a:gsLst>
                  <a:gs pos="0">
                    <a:srgbClr val="FAC090">
                      <a:lumMod val="60000"/>
                      <a:lumOff val="40000"/>
                    </a:srgbClr>
                  </a:gs>
                  <a:gs pos="83000">
                    <a:srgbClr val="F79646"/>
                  </a:gs>
                </a:gsLst>
                <a:lin ang="2700000"/>
              </a:gradFill>
              <a:ln w="15875">
                <a:solidFill>
                  <a:srgbClr val="FFFFFF"/>
                </a:solidFill>
              </a:ln>
              <a:effectLst>
                <a:outerShdw blurRad="50800" dist="38100" dir="2700000" algn="tl" rotWithShape="0">
                  <a:srgbClr val="984807">
                    <a:lumMod val="50000"/>
                    <a:alpha val="40000"/>
                  </a:srgbClr>
                </a:outerShdw>
              </a:effectLst>
              <a:sp3d contourW="15875"/>
            </c:spPr>
          </c:dPt>
          <c:dPt>
            <c:idx val="1"/>
            <c:bubble3D val="false"/>
            <c:spPr>
              <a:gradFill>
                <a:gsLst>
                  <a:gs pos="0">
                    <a:srgbClr val="C3D69B">
                      <a:lumMod val="60000"/>
                      <a:lumOff val="40000"/>
                    </a:srgbClr>
                  </a:gs>
                  <a:gs pos="83000">
                    <a:srgbClr val="9BBB59"/>
                  </a:gs>
                </a:gsLst>
                <a:lin ang="2700000"/>
              </a:gradFill>
              <a:ln w="15875">
                <a:solidFill>
                  <a:srgbClr val="FFFFFF"/>
                </a:solidFill>
              </a:ln>
              <a:effectLst>
                <a:outerShdw blurRad="50800" dist="38100" dir="2700000" algn="tl" rotWithShape="0">
                  <a:srgbClr val="632523">
                    <a:lumMod val="50000"/>
                    <a:alpha val="40000"/>
                  </a:srgbClr>
                </a:outerShdw>
              </a:effectLst>
              <a:sp3d contourW="15875"/>
            </c:spPr>
          </c:dPt>
          <c:dPt>
            <c:idx val="2"/>
            <c:bubble3D val="false"/>
            <c:spPr>
              <a:gradFill>
                <a:gsLst>
                  <a:gs pos="0">
                    <a:srgbClr val="93CDDD">
                      <a:lumMod val="60000"/>
                      <a:lumOff val="40000"/>
                    </a:srgbClr>
                  </a:gs>
                  <a:gs pos="83000">
                    <a:srgbClr val="4BACC6"/>
                  </a:gs>
                </a:gsLst>
                <a:lin ang="2700000"/>
              </a:gradFill>
              <a:ln w="19050">
                <a:solidFill>
                  <a:srgbClr val="FFFFFF"/>
                </a:solidFill>
              </a:ln>
              <a:effectLst>
                <a:outerShdw blurRad="50800" dist="38100" dir="2700000" algn="tl" rotWithShape="0">
                  <a:srgbClr val="215968">
                    <a:lumMod val="50000"/>
                    <a:alpha val="40000"/>
                  </a:srgbClr>
                </a:outerShdw>
              </a:effectLst>
              <a:sp3d contourW="19050"/>
            </c:spPr>
          </c:dPt>
          <c:dLbls>
            <c:numFmt formatCode="General" sourceLinked="true"/>
            <c:spPr>
              <a:noFill/>
              <a:ln>
                <a:noFill/>
              </a:ln>
              <a:effectLst/>
            </c:spPr>
            <c:txPr>
              <a:bodyPr rot="0" spcFirstLastPara="0" vertOverflow="ellipsis" vert="horz" wrap="square" lIns="38100" tIns="19050" rIns="38100" bIns="19050" anchor="ctr" anchorCtr="true" forceAA="false"/>
              <a:lstStyle/>
              <a:p>
                <a:pPr>
                  <a:defRPr lang="zh-CN" sz="900" b="0" i="0" u="none" strike="noStrike" kern="1200" baseline="0">
                    <a:solidFill>
                      <a:srgbClr val="FFFFFF"/>
                    </a:solidFill>
                    <a:effectLst/>
                    <a:latin typeface="+mn-lt"/>
                    <a:ea typeface="+mn-ea"/>
                    <a:cs typeface="+mn-cs"/>
                  </a:defRPr>
                </a:pPr>
              </a:p>
            </c:txPr>
            <c:dLblPos val="inEnd"/>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spPr>
                    <a:ln w="9525" cap="flat" cmpd="sng" algn="ctr">
                      <a:solidFill>
                        <a:srgbClr val="A6A6A6">
                          <a:lumMod val="35000"/>
                          <a:lumOff val="65000"/>
                        </a:srgbClr>
                      </a:solidFill>
                      <a:round/>
                    </a:ln>
                    <a:effectLst/>
                  </c:spPr>
                </c15:leaderLines>
              </c:ext>
            </c:extLst>
          </c:dLbls>
          <c:cat>
            <c:strRef>
              <c:f>[失业保险省级统筹计划表.xlsx]Sheet1!$A$82:$A$84</c:f>
              <c:strCache>
                <c:ptCount val="3"/>
                <c:pt idx="0">
                  <c:v>因公出国（境）费支出</c:v>
                </c:pt>
                <c:pt idx="1">
                  <c:v>公务用车购置及运行维护费支出</c:v>
                </c:pt>
                <c:pt idx="2">
                  <c:v>公务接待费支出</c:v>
                </c:pt>
              </c:strCache>
            </c:strRef>
          </c:cat>
          <c:val>
            <c:numRef>
              <c:f>[失业保险省级统筹计划表.xlsx]Sheet1!$B$82:$B$84</c:f>
              <c:numCache>
                <c:formatCode>0%</c:formatCode>
                <c:ptCount val="3"/>
                <c:pt idx="0">
                  <c:v>0</c:v>
                </c:pt>
                <c:pt idx="1">
                  <c:v>0</c:v>
                </c:pt>
                <c:pt idx="2">
                  <c:v>1</c:v>
                </c:pt>
              </c:numCache>
            </c:numRef>
          </c:val>
        </c:ser>
        <c:dLbls>
          <c:showLegendKey val="false"/>
          <c:showVal val="true"/>
          <c:showCatName val="false"/>
          <c:showSerName val="false"/>
          <c:showPercent val="false"/>
          <c:showBubbleSize val="false"/>
          <c:showLeaderLines val="true"/>
        </c:dLbls>
        <c:firstSliceAng val="36"/>
      </c:pieChart>
      <c:spPr>
        <a:noFill/>
        <a:ln>
          <a:noFill/>
        </a:ln>
        <a:effectLst/>
      </c:spPr>
    </c:plotArea>
    <c:legend>
      <c:legendPos val="r"/>
      <c:layout/>
      <c:overlay val="false"/>
      <c:spPr>
        <a:noFill/>
        <a:ln>
          <a:noFill/>
        </a:ln>
        <a:effectLst/>
      </c:spPr>
      <c:txPr>
        <a:bodyPr rot="0" spcFirstLastPara="0" vertOverflow="ellipsis" vert="horz" wrap="square" anchor="ctr" anchorCtr="true" forceAA="false"/>
        <a:lstStyle/>
        <a:p>
          <a:pPr>
            <a:defRPr lang="zh-CN" sz="900" b="0" i="0" u="none" strike="noStrike" kern="1200" baseline="0">
              <a:solidFill>
                <a:srgbClr val="808080">
                  <a:lumMod val="50000"/>
                  <a:lumOff val="50000"/>
                </a:srgbClr>
              </a:solidFill>
              <a:latin typeface="+mn-lt"/>
              <a:ea typeface="+mn-ea"/>
              <a:cs typeface="+mn-cs"/>
            </a:defRPr>
          </a:pPr>
        </a:p>
      </c:txPr>
    </c:legend>
    <c:plotVisOnly val="true"/>
    <c:dispBlanksAs val="gap"/>
    <c:showDLblsOverMax val="false"/>
  </c:chart>
  <c:spPr>
    <a:solidFill>
      <a:srgbClr val="FFFFFF"/>
    </a:solidFill>
    <a:ln w="9525" cap="flat" cmpd="sng" algn="ctr">
      <a:solidFill>
        <a:srgbClr val="D9D9D9">
          <a:lumMod val="85000"/>
        </a:srgbClr>
      </a:solidFill>
      <a:round/>
    </a:ln>
    <a:effectLst>
      <a:outerShdw blurRad="63500" dist="37357" dir="2700000" sx="0" sy="0" rotWithShape="0">
        <a:scrgbClr r="0" g="0" b="0"/>
      </a:outerShdw>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noFill/>
      </a:ln>
      <a:effectLst/>
    </cs:spPr>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10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rgbClr val="000000"/>
    </cs:fontRef>
    <cs:spPr>
      <a:ln>
        <a:solidFill>
          <a:srgbClr val="FFFFFF"/>
        </a:solidFill>
      </a:ln>
      <a:effectLst/>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E6E6E6">
            <a:lumMod val="902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404040">
        <a:lumMod val="75000"/>
        <a:lumOff val="25000"/>
      </a:srgbClr>
    </cs:fontRef>
    <cs:defRPr sz="1400" b="1" kern="120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15909</Words>
  <Characters>17679</Characters>
  <Lines>0</Lines>
  <Paragraphs>0</Paragraphs>
  <TotalTime>0</TotalTime>
  <ScaleCrop>false</ScaleCrop>
  <LinksUpToDate>false</LinksUpToDate>
  <CharactersWithSpaces>17851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2024-09-27T15:11:00Z</dcterms:created>
  <dc:creator>YY</dc:creator>
  <cp:lastModifiedBy> </cp:lastModifiedBy>
  <dcterms:modified xsi:type="dcterms:W3CDTF">2024-10-12T17:47:11Z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17519C3EB2A542DBB6E2557CFF4A5AE6_11</vt:lpwstr>
  </property>
</Properties>
</file>