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2"/>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8917"/>
      <w:bookmarkStart w:id="3" w:name="_Toc15396475"/>
      <w:bookmarkStart w:id="4" w:name="_Toc15377425"/>
      <w:bookmarkStart w:id="5" w:name="_Toc15396597"/>
      <w:bookmarkStart w:id="6"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2"/>
          <w:szCs w:val="52"/>
        </w:rPr>
      </w:pPr>
      <w:bookmarkStart w:id="7" w:name="_Toc11046"/>
      <w:bookmarkStart w:id="8" w:name="_Toc15377194"/>
      <w:bookmarkStart w:id="9" w:name="_Toc15396476"/>
      <w:bookmarkStart w:id="10" w:name="_Toc15377426"/>
      <w:bookmarkStart w:id="11" w:name="_Toc15396598"/>
      <w:bookmarkStart w:id="12" w:name="_Toc15378442"/>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广元市农民工服务中心单位决算</w:t>
      </w:r>
      <w:bookmarkEnd w:id="7"/>
      <w:bookmarkEnd w:id="8"/>
      <w:bookmarkEnd w:id="9"/>
      <w:bookmarkEnd w:id="10"/>
      <w:bookmarkEnd w:id="11"/>
      <w:bookmarkEnd w:id="12"/>
      <w:bookmarkEnd w:id="13"/>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stheme="minorBidi"/>
          <w:sz w:val="28"/>
          <w:szCs w:val="28"/>
        </w:rPr>
      </w:pPr>
      <w:r>
        <w:rPr>
          <w:rFonts w:hint="eastAsia" w:ascii="黑体" w:hAnsi="黑体" w:eastAsia="黑体"/>
          <w:sz w:val="48"/>
          <w:szCs w:val="48"/>
        </w:rPr>
        <w:t>目录</w:t>
      </w:r>
    </w:p>
    <w:p>
      <w:pPr>
        <w:pStyle w:val="11"/>
      </w:pPr>
      <w:r>
        <w:rPr>
          <w:rFonts w:hint="eastAsia"/>
        </w:rPr>
        <w:t>公开时间：2023年</w:t>
      </w:r>
      <w:r>
        <w:rPr>
          <w:rFonts w:hint="eastAsia"/>
          <w:lang w:val="en-US" w:eastAsia="zh-CN"/>
        </w:rPr>
        <w:t>10</w:t>
      </w:r>
      <w:r>
        <w:rPr>
          <w:rFonts w:hint="eastAsia"/>
        </w:rPr>
        <w:t>月</w:t>
      </w:r>
      <w:r>
        <w:rPr>
          <w:rFonts w:hint="eastAsia"/>
          <w:lang w:val="en-US" w:eastAsia="zh-CN"/>
        </w:rPr>
        <w:t>14</w:t>
      </w:r>
      <w:r>
        <w:rPr>
          <w:rFonts w:hint="eastAsia"/>
        </w:rPr>
        <w:t>日</w:t>
      </w:r>
    </w:p>
    <w:p/>
    <w:sdt>
      <w:sdtPr>
        <w:rPr>
          <w:rFonts w:ascii="宋体" w:hAnsi="宋体" w:eastAsia="宋体" w:cs="Times New Roman"/>
          <w:kern w:val="2"/>
          <w:sz w:val="21"/>
          <w:szCs w:val="24"/>
          <w:lang w:val="en-US" w:eastAsia="zh-CN" w:bidi="ar-SA"/>
        </w:rPr>
        <w:id w:val="147455939"/>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pPr>
            <w:spacing w:before="0" w:beforeLines="0" w:after="0" w:afterLines="0" w:line="240" w:lineRule="auto"/>
            <w:ind w:left="0" w:leftChars="0" w:right="0" w:rightChars="0" w:firstLine="0" w:firstLineChars="0"/>
            <w:jc w:val="center"/>
          </w:pPr>
          <w:bookmarkStart w:id="14" w:name="_Toc15396599"/>
          <w:bookmarkStart w:id="15" w:name="_Toc15377196"/>
        </w:p>
        <w:p>
          <w:pPr>
            <w:pStyle w:val="36"/>
            <w:tabs>
              <w:tab w:val="right" w:leader="dot" w:pos="8306"/>
            </w:tabs>
            <w:rPr>
              <w:b/>
            </w:rPr>
          </w:pPr>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p>
        <w:p>
          <w:pPr>
            <w:pStyle w:val="36"/>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_Toc6458 </w:instrText>
          </w:r>
          <w:r>
            <w:rPr>
              <w:rFonts w:hint="eastAsia" w:ascii="黑体" w:hAnsi="黑体" w:eastAsia="黑体"/>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_Toc6458 \h </w:instrText>
          </w:r>
          <w:r>
            <w:rPr>
              <w:b/>
            </w:rPr>
            <w:fldChar w:fldCharType="separate"/>
          </w:r>
          <w:r>
            <w:rPr>
              <w:b/>
            </w:rPr>
            <w:t>1</w:t>
          </w:r>
          <w:r>
            <w:rPr>
              <w:b/>
            </w:rPr>
            <w:fldChar w:fldCharType="end"/>
          </w:r>
          <w:r>
            <w:rPr>
              <w:rFonts w:hint="eastAsia" w:ascii="黑体" w:hAnsi="黑体" w:eastAsia="黑体"/>
              <w:b/>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_Toc11043 </w:instrText>
          </w:r>
          <w:r>
            <w:rPr>
              <w:rFonts w:hint="eastAsia" w:ascii="黑体" w:hAnsi="黑体" w:eastAsia="黑体"/>
            </w:rPr>
            <w:fldChar w:fldCharType="separate"/>
          </w:r>
          <w:r>
            <w:rPr>
              <w:rFonts w:hint="eastAsia" w:ascii="黑体" w:hAnsi="黑体" w:eastAsia="黑体"/>
              <w:bCs w:val="0"/>
              <w:highlight w:val="none"/>
              <w:lang w:eastAsia="zh-CN"/>
            </w:rPr>
            <w:t>一</w:t>
          </w:r>
          <w:r>
            <w:rPr>
              <w:rFonts w:hint="eastAsia" w:ascii="黑体" w:hAnsi="黑体" w:eastAsia="黑体"/>
              <w:bCs w:val="0"/>
              <w:highlight w:val="none"/>
              <w:lang w:val="en-US" w:eastAsia="zh-CN"/>
            </w:rPr>
            <w:t>、</w:t>
          </w:r>
          <w:r>
            <w:rPr>
              <w:rFonts w:hint="eastAsia" w:ascii="黑体" w:hAnsi="黑体" w:eastAsia="黑体"/>
              <w:bCs w:val="0"/>
              <w:highlight w:val="none"/>
            </w:rPr>
            <w:t>主要职责</w:t>
          </w:r>
          <w:r>
            <w:tab/>
          </w:r>
          <w:r>
            <w:fldChar w:fldCharType="begin"/>
          </w:r>
          <w:r>
            <w:instrText xml:space="preserve"> PAGEREF _Toc11043 \h </w:instrText>
          </w:r>
          <w:r>
            <w:fldChar w:fldCharType="separate"/>
          </w:r>
          <w:r>
            <w:t>1</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_Toc11826 </w:instrText>
          </w:r>
          <w:r>
            <w:rPr>
              <w:rFonts w:hint="eastAsia" w:ascii="黑体" w:hAnsi="黑体" w:eastAsia="黑体"/>
            </w:rPr>
            <w:fldChar w:fldCharType="separate"/>
          </w:r>
          <w:r>
            <w:rPr>
              <w:rFonts w:hint="eastAsia" w:ascii="黑体" w:hAnsi="黑体" w:eastAsia="黑体"/>
              <w:bCs w:val="0"/>
              <w:highlight w:val="none"/>
              <w:lang w:eastAsia="zh-CN"/>
            </w:rPr>
            <w:t>二、机构设置</w:t>
          </w:r>
          <w:r>
            <w:tab/>
          </w:r>
          <w:r>
            <w:fldChar w:fldCharType="begin"/>
          </w:r>
          <w:r>
            <w:instrText xml:space="preserve"> PAGEREF _Toc11826 \h </w:instrText>
          </w:r>
          <w:r>
            <w:fldChar w:fldCharType="separate"/>
          </w:r>
          <w:r>
            <w:t>1</w:t>
          </w:r>
          <w:r>
            <w:fldChar w:fldCharType="end"/>
          </w:r>
          <w:r>
            <w:rPr>
              <w:rFonts w:hint="eastAsia" w:ascii="黑体" w:hAnsi="黑体" w:eastAsia="黑体"/>
            </w:rPr>
            <w:fldChar w:fldCharType="end"/>
          </w:r>
        </w:p>
        <w:p>
          <w:pPr>
            <w:pStyle w:val="36"/>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_Toc3084 </w:instrText>
          </w:r>
          <w:r>
            <w:rPr>
              <w:rFonts w:hint="eastAsia" w:ascii="黑体" w:hAnsi="黑体" w:eastAsia="黑体"/>
              <w:b/>
            </w:rPr>
            <w:fldChar w:fldCharType="separate"/>
          </w:r>
          <w:r>
            <w:rPr>
              <w:rFonts w:hint="eastAsia" w:ascii="黑体" w:hAnsi="黑体" w:eastAsia="黑体"/>
              <w:b/>
            </w:rPr>
            <w:t>第二部分 2023年度</w:t>
          </w:r>
          <w:r>
            <w:rPr>
              <w:rFonts w:hint="eastAsia" w:ascii="黑体" w:hAnsi="黑体" w:eastAsia="黑体"/>
              <w:b/>
              <w:bCs/>
            </w:rPr>
            <w:t>单位决算情况说明</w:t>
          </w:r>
          <w:r>
            <w:rPr>
              <w:b/>
            </w:rPr>
            <w:tab/>
          </w:r>
          <w:r>
            <w:rPr>
              <w:b/>
            </w:rPr>
            <w:fldChar w:fldCharType="begin"/>
          </w:r>
          <w:r>
            <w:rPr>
              <w:b/>
            </w:rPr>
            <w:instrText xml:space="preserve"> PAGEREF _Toc3084 \h </w:instrText>
          </w:r>
          <w:r>
            <w:rPr>
              <w:b/>
            </w:rPr>
            <w:fldChar w:fldCharType="separate"/>
          </w:r>
          <w:r>
            <w:rPr>
              <w:b/>
            </w:rPr>
            <w:t>3</w:t>
          </w:r>
          <w:r>
            <w:rPr>
              <w:b/>
            </w:rPr>
            <w:fldChar w:fldCharType="end"/>
          </w:r>
          <w:r>
            <w:rPr>
              <w:rFonts w:hint="eastAsia" w:ascii="黑体" w:hAnsi="黑体" w:eastAsia="黑体"/>
              <w:b/>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_Toc26653 </w:instrText>
          </w:r>
          <w:r>
            <w:rPr>
              <w:rFonts w:hint="eastAsia" w:ascii="黑体" w:hAnsi="黑体" w:eastAsia="黑体"/>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_Toc26653 \h </w:instrText>
          </w:r>
          <w:r>
            <w:fldChar w:fldCharType="separate"/>
          </w:r>
          <w:r>
            <w:t>3</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_Toc1409 </w:instrText>
          </w:r>
          <w:r>
            <w:rPr>
              <w:rFonts w:hint="eastAsia" w:ascii="黑体" w:hAnsi="黑体" w:eastAsia="黑体"/>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_Toc1409 \h </w:instrText>
          </w:r>
          <w:r>
            <w:fldChar w:fldCharType="separate"/>
          </w:r>
          <w:r>
            <w:t>3</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_Toc32297 </w:instrText>
          </w:r>
          <w:r>
            <w:rPr>
              <w:rFonts w:hint="eastAsia" w:ascii="黑体" w:hAnsi="黑体" w:eastAsia="黑体"/>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_Toc32297 \h </w:instrText>
          </w:r>
          <w:r>
            <w:fldChar w:fldCharType="separate"/>
          </w:r>
          <w:r>
            <w:t>4</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_Toc12404 </w:instrText>
          </w:r>
          <w:r>
            <w:rPr>
              <w:rFonts w:hint="eastAsia" w:ascii="黑体" w:hAnsi="黑体" w:eastAsia="黑体"/>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_Toc12404 \h </w:instrText>
          </w:r>
          <w:r>
            <w:fldChar w:fldCharType="separate"/>
          </w:r>
          <w:r>
            <w:t>4</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_Toc2597 </w:instrText>
          </w:r>
          <w:r>
            <w:rPr>
              <w:rFonts w:hint="eastAsia" w:ascii="黑体" w:hAnsi="黑体" w:eastAsia="黑体"/>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_Toc2597 \h </w:instrText>
          </w:r>
          <w:r>
            <w:fldChar w:fldCharType="separate"/>
          </w:r>
          <w:r>
            <w:t>4</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_Toc31489 </w:instrText>
          </w:r>
          <w:r>
            <w:rPr>
              <w:rFonts w:hint="eastAsia" w:ascii="黑体" w:hAnsi="黑体" w:eastAsia="黑体"/>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_Toc31489 \h </w:instrText>
          </w:r>
          <w:r>
            <w:fldChar w:fldCharType="separate"/>
          </w:r>
          <w:r>
            <w:t>6</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_Toc2532 </w:instrText>
          </w:r>
          <w:r>
            <w:rPr>
              <w:rFonts w:hint="eastAsia" w:ascii="黑体" w:hAnsi="黑体" w:eastAsia="黑体"/>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_Toc2532 \h </w:instrText>
          </w:r>
          <w:r>
            <w:fldChar w:fldCharType="separate"/>
          </w:r>
          <w:r>
            <w:t>7</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_Toc8277 </w:instrText>
          </w:r>
          <w:r>
            <w:rPr>
              <w:rFonts w:hint="eastAsia" w:ascii="黑体" w:hAnsi="黑体" w:eastAsia="黑体"/>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_Toc8277 \h </w:instrText>
          </w:r>
          <w:r>
            <w:fldChar w:fldCharType="separate"/>
          </w:r>
          <w:r>
            <w:t>8</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_Toc13013 </w:instrText>
          </w:r>
          <w:r>
            <w:rPr>
              <w:rFonts w:hint="eastAsia" w:ascii="黑体" w:hAnsi="黑体" w:eastAsia="黑体"/>
            </w:rPr>
            <w:fldChar w:fldCharType="separate"/>
          </w:r>
          <w:r>
            <w:rPr>
              <w:rFonts w:hint="eastAsia" w:ascii="黑体" w:hAnsi="黑体" w:eastAsia="黑体"/>
            </w:rPr>
            <w:t>九、 国有资本经营预算支出决算情况说明</w:t>
          </w:r>
          <w:r>
            <w:tab/>
          </w:r>
          <w:r>
            <w:fldChar w:fldCharType="begin"/>
          </w:r>
          <w:r>
            <w:instrText xml:space="preserve"> PAGEREF _Toc13013 \h </w:instrText>
          </w:r>
          <w:r>
            <w:fldChar w:fldCharType="separate"/>
          </w:r>
          <w:r>
            <w:t>8</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_Toc28249 </w:instrText>
          </w:r>
          <w:r>
            <w:rPr>
              <w:rFonts w:hint="eastAsia" w:ascii="黑体" w:hAnsi="黑体" w:eastAsia="黑体"/>
            </w:rPr>
            <w:fldChar w:fldCharType="separate"/>
          </w:r>
          <w:r>
            <w:rPr>
              <w:rFonts w:hint="eastAsia" w:ascii="黑体" w:hAnsi="黑体" w:eastAsia="黑体"/>
            </w:rPr>
            <w:t>十、 其他重要事项的情况说明</w:t>
          </w:r>
          <w:r>
            <w:tab/>
          </w:r>
          <w:r>
            <w:fldChar w:fldCharType="begin"/>
          </w:r>
          <w:r>
            <w:instrText xml:space="preserve"> PAGEREF _Toc28249 \h </w:instrText>
          </w:r>
          <w:r>
            <w:fldChar w:fldCharType="separate"/>
          </w:r>
          <w:r>
            <w:t>8</w:t>
          </w:r>
          <w:r>
            <w:fldChar w:fldCharType="end"/>
          </w:r>
          <w:r>
            <w:rPr>
              <w:rFonts w:hint="eastAsia" w:ascii="黑体" w:hAnsi="黑体" w:eastAsia="黑体"/>
            </w:rPr>
            <w:fldChar w:fldCharType="end"/>
          </w:r>
        </w:p>
        <w:p>
          <w:pPr>
            <w:pStyle w:val="36"/>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_Toc32694 </w:instrText>
          </w:r>
          <w:r>
            <w:rPr>
              <w:rFonts w:hint="eastAsia" w:ascii="黑体" w:hAnsi="黑体" w:eastAsia="黑体"/>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_Toc32694 \h </w:instrText>
          </w:r>
          <w:r>
            <w:rPr>
              <w:b/>
            </w:rPr>
            <w:fldChar w:fldCharType="separate"/>
          </w:r>
          <w:r>
            <w:rPr>
              <w:b/>
            </w:rPr>
            <w:t>10</w:t>
          </w:r>
          <w:r>
            <w:rPr>
              <w:b/>
            </w:rPr>
            <w:fldChar w:fldCharType="end"/>
          </w:r>
          <w:r>
            <w:rPr>
              <w:rFonts w:hint="eastAsia" w:ascii="黑体" w:hAnsi="黑体" w:eastAsia="黑体"/>
              <w:b/>
            </w:rPr>
            <w:fldChar w:fldCharType="end"/>
          </w:r>
        </w:p>
        <w:p>
          <w:pPr>
            <w:pStyle w:val="36"/>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_Toc14292 </w:instrText>
          </w:r>
          <w:r>
            <w:rPr>
              <w:rFonts w:hint="eastAsia" w:ascii="黑体" w:hAnsi="黑体" w:eastAsia="黑体"/>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_Toc14292 \h </w:instrText>
          </w:r>
          <w:r>
            <w:rPr>
              <w:b/>
            </w:rPr>
            <w:fldChar w:fldCharType="separate"/>
          </w:r>
          <w:r>
            <w:rPr>
              <w:b/>
            </w:rPr>
            <w:t>13</w:t>
          </w:r>
          <w:r>
            <w:rPr>
              <w:b/>
            </w:rPr>
            <w:fldChar w:fldCharType="end"/>
          </w:r>
          <w:r>
            <w:rPr>
              <w:rFonts w:hint="eastAsia" w:ascii="黑体" w:hAnsi="黑体" w:eastAsia="黑体"/>
              <w:b/>
            </w:rPr>
            <w:fldChar w:fldCharType="end"/>
          </w:r>
        </w:p>
        <w:p>
          <w:pPr>
            <w:pStyle w:val="36"/>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_Toc10968 </w:instrText>
          </w:r>
          <w:r>
            <w:rPr>
              <w:rFonts w:hint="eastAsia" w:ascii="黑体" w:hAnsi="黑体" w:eastAsia="黑体"/>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_Toc10968 \h </w:instrText>
          </w:r>
          <w:r>
            <w:rPr>
              <w:b/>
            </w:rPr>
            <w:fldChar w:fldCharType="separate"/>
          </w:r>
          <w:r>
            <w:rPr>
              <w:b/>
            </w:rPr>
            <w:t>25</w:t>
          </w:r>
          <w:r>
            <w:rPr>
              <w:b/>
            </w:rPr>
            <w:fldChar w:fldCharType="end"/>
          </w:r>
          <w:r>
            <w:rPr>
              <w:rFonts w:hint="eastAsia" w:ascii="黑体" w:hAnsi="黑体" w:eastAsia="黑体"/>
              <w:b/>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_Toc24482 </w:instrText>
          </w:r>
          <w:r>
            <w:rPr>
              <w:rFonts w:hint="eastAsia" w:ascii="黑体" w:hAnsi="黑体" w:eastAsia="黑体"/>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_Toc24482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_Toc8561 </w:instrText>
          </w:r>
          <w:r>
            <w:rPr>
              <w:rFonts w:hint="eastAsia" w:ascii="黑体" w:hAnsi="黑体" w:eastAsia="黑体"/>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_Toc8561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_Toc24177 </w:instrText>
          </w:r>
          <w:r>
            <w:rPr>
              <w:rFonts w:hint="eastAsia" w:ascii="黑体" w:hAnsi="黑体" w:eastAsia="黑体"/>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_Toc24177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_Toc30557 </w:instrText>
          </w:r>
          <w:r>
            <w:rPr>
              <w:rFonts w:hint="eastAsia" w:ascii="黑体" w:hAnsi="黑体" w:eastAsia="黑体"/>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_Toc30557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_Toc30533 </w:instrText>
          </w:r>
          <w:r>
            <w:rPr>
              <w:rFonts w:hint="eastAsia" w:ascii="黑体" w:hAnsi="黑体" w:eastAsia="黑体"/>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_Toc30533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_Toc10295 </w:instrText>
          </w:r>
          <w:r>
            <w:rPr>
              <w:rFonts w:hint="eastAsia" w:ascii="黑体" w:hAnsi="黑体" w:eastAsia="黑体"/>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_Toc10295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_Toc4433 </w:instrText>
          </w:r>
          <w:r>
            <w:rPr>
              <w:rFonts w:hint="eastAsia" w:ascii="黑体" w:hAnsi="黑体" w:eastAsia="黑体"/>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_Toc4433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_Toc30818 </w:instrText>
          </w:r>
          <w:r>
            <w:rPr>
              <w:rFonts w:hint="eastAsia" w:ascii="黑体" w:hAnsi="黑体" w:eastAsia="黑体"/>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_Toc30818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_Toc22909 </w:instrText>
          </w:r>
          <w:r>
            <w:rPr>
              <w:rFonts w:hint="eastAsia" w:ascii="黑体" w:hAnsi="黑体" w:eastAsia="黑体"/>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_Toc22909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_Toc15090 </w:instrText>
          </w:r>
          <w:r>
            <w:rPr>
              <w:rFonts w:hint="eastAsia" w:ascii="黑体" w:hAnsi="黑体" w:eastAsia="黑体"/>
            </w:rP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_Toc15090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_Toc28981 </w:instrText>
          </w:r>
          <w:r>
            <w:rPr>
              <w:rFonts w:hint="eastAsia" w:ascii="黑体" w:hAnsi="黑体" w:eastAsia="黑体"/>
            </w:rP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_Toc28981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_Toc17341 </w:instrText>
          </w:r>
          <w:r>
            <w:rPr>
              <w:rFonts w:hint="eastAsia" w:ascii="黑体" w:hAnsi="黑体" w:eastAsia="黑体"/>
            </w:rPr>
            <w:fldChar w:fldCharType="separate"/>
          </w:r>
          <w:r>
            <w:rPr>
              <w:rFonts w:hint="eastAsia" w:ascii="仿宋" w:hAnsi="仿宋" w:eastAsia="仿宋"/>
              <w:bCs w:val="0"/>
            </w:rPr>
            <w:t>十二、国有资本经营预算财政拨款支出决算表</w:t>
          </w:r>
          <w:r>
            <w:tab/>
          </w:r>
          <w:r>
            <w:fldChar w:fldCharType="begin"/>
          </w:r>
          <w:r>
            <w:instrText xml:space="preserve"> PAGEREF _Toc17341 \h </w:instrText>
          </w:r>
          <w:r>
            <w:fldChar w:fldCharType="separate"/>
          </w:r>
          <w:r>
            <w:t>25</w:t>
          </w:r>
          <w:r>
            <w:fldChar w:fldCharType="end"/>
          </w:r>
          <w:r>
            <w:rPr>
              <w:rFonts w:hint="eastAsia" w:ascii="黑体" w:hAnsi="黑体" w:eastAsia="黑体"/>
            </w:rPr>
            <w:fldChar w:fldCharType="end"/>
          </w:r>
        </w:p>
        <w:p>
          <w:pPr>
            <w:pStyle w:val="37"/>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_Toc7328 </w:instrText>
          </w:r>
          <w:r>
            <w:rPr>
              <w:rFonts w:hint="eastAsia" w:ascii="黑体" w:hAnsi="黑体" w:eastAsia="黑体"/>
            </w:rPr>
            <w:fldChar w:fldCharType="separate"/>
          </w:r>
          <w:r>
            <w:rPr>
              <w:rFonts w:hint="eastAsia" w:ascii="仿宋" w:hAnsi="仿宋" w:eastAsia="仿宋"/>
              <w:bCs w:val="0"/>
            </w:rPr>
            <w:t>十三、财政拨款“三公”经费支出决算表</w:t>
          </w:r>
          <w:r>
            <w:tab/>
          </w:r>
          <w:r>
            <w:fldChar w:fldCharType="begin"/>
          </w:r>
          <w:r>
            <w:instrText xml:space="preserve"> PAGEREF _Toc7328 \h </w:instrText>
          </w:r>
          <w:r>
            <w:fldChar w:fldCharType="separate"/>
          </w:r>
          <w:r>
            <w:t>25</w:t>
          </w:r>
          <w:r>
            <w:fldChar w:fldCharType="end"/>
          </w:r>
          <w:r>
            <w:rPr>
              <w:rFonts w:hint="eastAsia" w:ascii="黑体" w:hAnsi="黑体" w:eastAsia="黑体"/>
            </w:rPr>
            <w:fldChar w:fldCharType="end"/>
          </w:r>
        </w:p>
        <w:p>
          <w:pPr>
            <w:pStyle w:val="3"/>
            <w:jc w:val="center"/>
            <w:outlineLvl w:val="9"/>
            <w:rPr>
              <w:rFonts w:hint="eastAsia" w:ascii="黑体" w:hAnsi="黑体" w:eastAsia="黑体" w:cs="Times New Roman"/>
              <w:b/>
              <w:bCs/>
              <w:kern w:val="44"/>
              <w:sz w:val="44"/>
              <w:szCs w:val="44"/>
              <w:lang w:val="en-US" w:eastAsia="zh-CN" w:bidi="ar-SA"/>
            </w:rPr>
          </w:pPr>
          <w:r>
            <w:rPr>
              <w:rFonts w:hint="eastAsia" w:ascii="黑体" w:hAnsi="黑体" w:eastAsia="黑体"/>
              <w:b/>
            </w:rPr>
            <w:fldChar w:fldCharType="end"/>
          </w:r>
        </w:p>
      </w:sdtContent>
    </w:sdt>
    <w:p>
      <w:pPr>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jc w:val="center"/>
        <w:rPr>
          <w:rStyle w:val="30"/>
          <w:rFonts w:ascii="黑体" w:hAnsi="黑体" w:eastAsia="黑体"/>
          <w:b/>
          <w:bCs w:val="0"/>
        </w:rPr>
      </w:pPr>
      <w:bookmarkStart w:id="16" w:name="_Toc6458"/>
      <w:r>
        <w:rPr>
          <w:rFonts w:hint="eastAsia" w:ascii="黑体" w:hAnsi="黑体" w:eastAsia="黑体"/>
          <w:b w:val="0"/>
        </w:rPr>
        <w:t>第一部分 单位</w:t>
      </w:r>
      <w:r>
        <w:rPr>
          <w:rStyle w:val="30"/>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4"/>
        <w:rPr>
          <w:rStyle w:val="19"/>
          <w:rFonts w:hint="eastAsia" w:ascii="黑体" w:hAnsi="黑体" w:eastAsia="黑体"/>
          <w:b w:val="0"/>
          <w:bCs w:val="0"/>
          <w:highlight w:val="none"/>
        </w:rPr>
      </w:pPr>
      <w:bookmarkStart w:id="17" w:name="_Toc11043"/>
      <w:bookmarkStart w:id="18" w:name="_Toc6455"/>
      <w:bookmarkStart w:id="19" w:name="_Toc19201"/>
      <w:bookmarkStart w:id="20" w:name="_Toc19964"/>
      <w:bookmarkStart w:id="21" w:name="_Toc15396600"/>
      <w:bookmarkStart w:id="22" w:name="_Toc15377197"/>
      <w:r>
        <w:rPr>
          <w:rStyle w:val="19"/>
          <w:rFonts w:hint="eastAsia" w:ascii="黑体" w:hAnsi="黑体" w:eastAsia="黑体"/>
          <w:b w:val="0"/>
          <w:bCs w:val="0"/>
          <w:highlight w:val="none"/>
          <w:lang w:eastAsia="zh-CN"/>
        </w:rPr>
        <w:t>一</w:t>
      </w:r>
      <w:r>
        <w:rPr>
          <w:rStyle w:val="19"/>
          <w:rFonts w:hint="eastAsia" w:ascii="黑体" w:hAnsi="黑体" w:eastAsia="黑体"/>
          <w:b w:val="0"/>
          <w:bCs w:val="0"/>
          <w:highlight w:val="none"/>
          <w:lang w:val="en-US" w:eastAsia="zh-CN"/>
        </w:rPr>
        <w:t>、</w:t>
      </w:r>
      <w:r>
        <w:rPr>
          <w:rStyle w:val="19"/>
          <w:rFonts w:hint="eastAsia" w:ascii="黑体" w:hAnsi="黑体" w:eastAsia="黑体"/>
          <w:b w:val="0"/>
          <w:bCs w:val="0"/>
          <w:highlight w:val="none"/>
        </w:rPr>
        <w:t>主要职责</w:t>
      </w:r>
      <w:bookmarkEnd w:id="17"/>
      <w:bookmarkEnd w:id="18"/>
      <w:bookmarkEnd w:id="19"/>
      <w:bookmarkEnd w:id="20"/>
      <w:bookmarkStart w:id="23" w:name="_Toc9323"/>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24" w:name="_Toc3131"/>
      <w:bookmarkStart w:id="25" w:name="_Toc3452"/>
      <w:bookmarkStart w:id="26" w:name="_Toc27623"/>
      <w:bookmarkStart w:id="27" w:name="_Toc7291"/>
      <w:bookmarkStart w:id="28" w:name="_Toc932"/>
      <w:r>
        <w:rPr>
          <w:rFonts w:hint="eastAsia" w:ascii="仿宋_GB2312" w:hAnsi="仿宋_GB2312" w:eastAsia="仿宋_GB2312" w:cs="仿宋_GB2312"/>
          <w:b w:val="0"/>
          <w:bCs w:val="0"/>
          <w:color w:val="333333"/>
          <w:kern w:val="0"/>
          <w:highlight w:val="none"/>
          <w:shd w:val="clear" w:color="auto" w:fill="FFFFFF"/>
        </w:rPr>
        <w:t>1.</w:t>
      </w:r>
      <w:r>
        <w:rPr>
          <w:rFonts w:hint="eastAsia" w:ascii="仿宋_GB2312" w:hAnsi="仿宋_GB2312" w:eastAsia="仿宋_GB2312" w:cs="仿宋_GB2312"/>
          <w:b w:val="0"/>
          <w:bCs w:val="0"/>
          <w:color w:val="000000"/>
          <w:kern w:val="0"/>
          <w:highlight w:val="none"/>
        </w:rPr>
        <w:t>宣传贯彻农民工服务保障工作法律法规和政策；</w:t>
      </w:r>
      <w:bookmarkEnd w:id="23"/>
      <w:bookmarkEnd w:id="24"/>
      <w:bookmarkEnd w:id="25"/>
      <w:bookmarkEnd w:id="26"/>
      <w:bookmarkEnd w:id="27"/>
      <w:bookmarkEnd w:id="28"/>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29" w:name="_Toc13221"/>
      <w:bookmarkStart w:id="30" w:name="_Toc21569"/>
      <w:bookmarkStart w:id="31" w:name="_Toc19971"/>
      <w:bookmarkStart w:id="32" w:name="_Toc11481"/>
      <w:bookmarkStart w:id="33" w:name="_Toc25936"/>
      <w:bookmarkStart w:id="34" w:name="_Toc16765"/>
      <w:r>
        <w:rPr>
          <w:rFonts w:hint="eastAsia" w:ascii="仿宋_GB2312" w:hAnsi="仿宋_GB2312" w:eastAsia="仿宋_GB2312" w:cs="仿宋_GB2312"/>
          <w:b w:val="0"/>
          <w:bCs w:val="0"/>
          <w:color w:val="000000"/>
          <w:kern w:val="0"/>
          <w:highlight w:val="none"/>
        </w:rPr>
        <w:t>2.组织实施全市农民工服务体系标准化建设工作；</w:t>
      </w:r>
      <w:bookmarkEnd w:id="29"/>
      <w:bookmarkEnd w:id="30"/>
      <w:bookmarkEnd w:id="31"/>
      <w:bookmarkEnd w:id="32"/>
      <w:bookmarkEnd w:id="33"/>
      <w:bookmarkEnd w:id="34"/>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35" w:name="_Toc18257"/>
      <w:bookmarkStart w:id="36" w:name="_Toc10340"/>
      <w:bookmarkStart w:id="37" w:name="_Toc9872"/>
      <w:bookmarkStart w:id="38" w:name="_Toc7781"/>
      <w:bookmarkStart w:id="39" w:name="_Toc3871"/>
      <w:bookmarkStart w:id="40" w:name="_Toc25205"/>
      <w:r>
        <w:rPr>
          <w:rFonts w:hint="eastAsia" w:ascii="仿宋_GB2312" w:hAnsi="仿宋_GB2312" w:eastAsia="仿宋_GB2312" w:cs="仿宋_GB2312"/>
          <w:b w:val="0"/>
          <w:bCs w:val="0"/>
          <w:color w:val="000000"/>
          <w:kern w:val="0"/>
          <w:highlight w:val="none"/>
        </w:rPr>
        <w:t>3.建设和管理驻外农民工工作站，承担农民工信息化建设工作；</w:t>
      </w:r>
      <w:bookmarkEnd w:id="35"/>
      <w:bookmarkEnd w:id="36"/>
      <w:bookmarkEnd w:id="37"/>
      <w:bookmarkEnd w:id="38"/>
      <w:bookmarkEnd w:id="39"/>
      <w:bookmarkEnd w:id="40"/>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41" w:name="_Toc27538"/>
      <w:bookmarkStart w:id="42" w:name="_Toc27117"/>
      <w:bookmarkStart w:id="43" w:name="_Toc18254"/>
      <w:bookmarkStart w:id="44" w:name="_Toc9455"/>
      <w:bookmarkStart w:id="45" w:name="_Toc13202"/>
      <w:bookmarkStart w:id="46" w:name="_Toc9233"/>
      <w:r>
        <w:rPr>
          <w:rFonts w:hint="eastAsia" w:ascii="仿宋_GB2312" w:hAnsi="仿宋_GB2312" w:eastAsia="仿宋_GB2312" w:cs="仿宋_GB2312"/>
          <w:b w:val="0"/>
          <w:bCs w:val="0"/>
          <w:color w:val="000000"/>
          <w:kern w:val="0"/>
          <w:highlight w:val="none"/>
        </w:rPr>
        <w:t>4.组织开展农民工回引创业、职业培训等工作，组织农民工参加创新创业大赛活动；</w:t>
      </w:r>
      <w:bookmarkEnd w:id="41"/>
      <w:bookmarkEnd w:id="42"/>
      <w:bookmarkEnd w:id="43"/>
      <w:bookmarkEnd w:id="44"/>
      <w:bookmarkEnd w:id="45"/>
      <w:bookmarkEnd w:id="46"/>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47" w:name="_Toc20077"/>
      <w:bookmarkStart w:id="48" w:name="_Toc26249"/>
      <w:bookmarkStart w:id="49" w:name="_Toc31477"/>
      <w:bookmarkStart w:id="50" w:name="_Toc16716"/>
      <w:bookmarkStart w:id="51" w:name="_Toc385"/>
      <w:bookmarkStart w:id="52" w:name="_Toc25621"/>
      <w:r>
        <w:rPr>
          <w:rFonts w:hint="eastAsia" w:ascii="仿宋_GB2312" w:hAnsi="仿宋_GB2312" w:eastAsia="仿宋_GB2312" w:cs="仿宋_GB2312"/>
          <w:b w:val="0"/>
          <w:bCs w:val="0"/>
          <w:color w:val="000000"/>
          <w:kern w:val="0"/>
          <w:highlight w:val="none"/>
        </w:rPr>
        <w:t>5.会同有关部门开展农民工维权救助、法律援助、治理欠薪等工作；</w:t>
      </w:r>
      <w:bookmarkEnd w:id="47"/>
      <w:bookmarkEnd w:id="48"/>
      <w:bookmarkEnd w:id="49"/>
      <w:bookmarkEnd w:id="50"/>
      <w:bookmarkEnd w:id="51"/>
      <w:bookmarkEnd w:id="52"/>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highlight w:val="none"/>
        </w:rPr>
      </w:pPr>
      <w:bookmarkStart w:id="53" w:name="_Toc25961"/>
      <w:bookmarkStart w:id="54" w:name="_Toc1551"/>
      <w:bookmarkStart w:id="55" w:name="_Toc22199"/>
      <w:bookmarkStart w:id="56" w:name="_Toc28181"/>
      <w:bookmarkStart w:id="57" w:name="_Toc3470"/>
      <w:bookmarkStart w:id="58" w:name="_Toc9511"/>
      <w:r>
        <w:rPr>
          <w:rFonts w:hint="eastAsia" w:ascii="仿宋_GB2312" w:hAnsi="仿宋_GB2312" w:eastAsia="仿宋_GB2312" w:cs="仿宋_GB2312"/>
          <w:b w:val="0"/>
          <w:bCs w:val="0"/>
          <w:color w:val="000000"/>
          <w:kern w:val="0"/>
          <w:highlight w:val="none"/>
        </w:rPr>
        <w:t>6.组织实施农民工走访慰问、关心关爱等活动，会同有关部门开展农民工文化艺术、体育竞技等活动；</w:t>
      </w:r>
      <w:bookmarkEnd w:id="53"/>
      <w:bookmarkEnd w:id="54"/>
      <w:bookmarkEnd w:id="55"/>
      <w:bookmarkEnd w:id="56"/>
      <w:bookmarkEnd w:id="57"/>
      <w:bookmarkEnd w:id="58"/>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9"/>
          <w:rFonts w:ascii="黑体" w:hAnsi="黑体" w:eastAsia="黑体"/>
          <w:b w:val="0"/>
          <w:bCs w:val="0"/>
          <w:highlight w:val="none"/>
        </w:rPr>
      </w:pPr>
      <w:bookmarkStart w:id="59" w:name="_Toc22211"/>
      <w:bookmarkStart w:id="60" w:name="_Toc30556"/>
      <w:bookmarkStart w:id="61" w:name="_Toc28901"/>
      <w:bookmarkStart w:id="62" w:name="_Toc1632"/>
      <w:bookmarkStart w:id="63" w:name="_Toc13345"/>
      <w:bookmarkStart w:id="64" w:name="_Toc23780"/>
      <w:r>
        <w:rPr>
          <w:rFonts w:hint="eastAsia" w:ascii="仿宋_GB2312" w:hAnsi="仿宋_GB2312" w:eastAsia="仿宋_GB2312" w:cs="仿宋_GB2312"/>
          <w:b w:val="0"/>
          <w:bCs w:val="0"/>
          <w:color w:val="000000"/>
          <w:kern w:val="0"/>
          <w:highlight w:val="none"/>
        </w:rPr>
        <w:t>7.完成市人力资源社会保障局交办的其他任务。</w:t>
      </w:r>
      <w:bookmarkEnd w:id="59"/>
      <w:bookmarkEnd w:id="60"/>
      <w:bookmarkEnd w:id="61"/>
      <w:bookmarkEnd w:id="62"/>
      <w:bookmarkEnd w:id="63"/>
      <w:bookmarkEnd w:id="64"/>
    </w:p>
    <w:p>
      <w:pPr>
        <w:pStyle w:val="4"/>
        <w:keepNext/>
        <w:keepLines/>
        <w:pageBreakBefore w:val="0"/>
        <w:widowControl w:val="0"/>
        <w:numPr>
          <w:ilvl w:val="0"/>
          <w:numId w:val="0"/>
        </w:numPr>
        <w:kinsoku/>
        <w:wordWrap/>
        <w:overflowPunct/>
        <w:topLinePunct w:val="0"/>
        <w:autoSpaceDE/>
        <w:autoSpaceDN/>
        <w:bidi w:val="0"/>
        <w:adjustRightInd/>
        <w:snapToGrid/>
        <w:spacing w:line="416" w:lineRule="auto"/>
        <w:jc w:val="left"/>
        <w:textAlignment w:val="auto"/>
        <w:rPr>
          <w:rStyle w:val="19"/>
          <w:rFonts w:hint="eastAsia" w:ascii="黑体" w:hAnsi="黑体" w:eastAsia="黑体"/>
          <w:b w:val="0"/>
          <w:bCs w:val="0"/>
          <w:highlight w:val="none"/>
          <w:lang w:eastAsia="zh-CN"/>
        </w:rPr>
      </w:pPr>
      <w:bookmarkStart w:id="65" w:name="_Toc31082"/>
      <w:bookmarkStart w:id="66" w:name="_Toc7484"/>
      <w:bookmarkStart w:id="67" w:name="_Toc11826"/>
      <w:bookmarkStart w:id="68" w:name="_Toc3392"/>
      <w:r>
        <w:rPr>
          <w:rStyle w:val="19"/>
          <w:rFonts w:hint="eastAsia" w:ascii="黑体" w:hAnsi="黑体" w:eastAsia="黑体"/>
          <w:b w:val="0"/>
          <w:bCs w:val="0"/>
          <w:highlight w:val="none"/>
          <w:lang w:eastAsia="zh-CN"/>
        </w:rPr>
        <w:t>二、机构设置</w:t>
      </w:r>
      <w:bookmarkEnd w:id="65"/>
      <w:bookmarkEnd w:id="66"/>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 w:val="0"/>
          <w:bCs/>
          <w:sz w:val="32"/>
          <w:szCs w:val="32"/>
          <w:highlight w:val="none"/>
          <w:lang w:eastAsia="zh-CN"/>
        </w:rPr>
      </w:pPr>
      <w:r>
        <w:rPr>
          <w:rFonts w:hint="eastAsia" w:ascii="仿宋_GB2312" w:hAnsi="Times New Roman" w:eastAsia="仿宋_GB2312" w:cs="Times New Roman"/>
          <w:b w:val="0"/>
          <w:bCs/>
          <w:sz w:val="32"/>
          <w:szCs w:val="32"/>
          <w:highlight w:val="none"/>
          <w:lang w:eastAsia="zh-CN"/>
        </w:rPr>
        <w:t>农民工服务中心</w:t>
      </w:r>
      <w:r>
        <w:rPr>
          <w:rFonts w:hint="default" w:ascii="仿宋_GB2312" w:eastAsia="仿宋_GB2312" w:cs="Times New Roman"/>
          <w:b w:val="0"/>
          <w:bCs/>
          <w:sz w:val="32"/>
          <w:szCs w:val="32"/>
          <w:highlight w:val="none"/>
          <w:lang w:eastAsia="zh-CN"/>
        </w:rPr>
        <w:t>属于广元市人力资源和社会保障局二级预算单位，</w:t>
      </w:r>
      <w:r>
        <w:rPr>
          <w:rFonts w:hint="eastAsia" w:ascii="仿宋_GB2312" w:hAnsi="Times New Roman" w:eastAsia="仿宋_GB2312" w:cs="Times New Roman"/>
          <w:b w:val="0"/>
          <w:bCs/>
          <w:sz w:val="32"/>
          <w:szCs w:val="32"/>
          <w:highlight w:val="none"/>
          <w:lang w:eastAsia="zh-CN"/>
        </w:rPr>
        <w:t>内设三个科室：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eastAsia="仿宋_GB2312"/>
          <w:b w:val="0"/>
          <w:bCs/>
          <w:sz w:val="32"/>
          <w:szCs w:val="32"/>
          <w:highlight w:val="none"/>
        </w:rPr>
        <w:t>（一）综合科。</w:t>
      </w:r>
      <w:r>
        <w:rPr>
          <w:rFonts w:hint="eastAsia" w:ascii="仿宋_GB2312" w:hAnsi="仿宋_GB2312" w:eastAsia="仿宋_GB2312" w:cs="仿宋_GB2312"/>
          <w:b w:val="0"/>
          <w:bCs/>
          <w:sz w:val="32"/>
          <w:szCs w:val="32"/>
          <w:highlight w:val="none"/>
        </w:rPr>
        <w:t>负责党建、文电、会务、外宣、调研、人事、工会、档案、安全、固定资产管理、财务及后勤等工作；</w:t>
      </w:r>
      <w:r>
        <w:rPr>
          <w:rFonts w:hint="eastAsia" w:ascii="仿宋_GB2312" w:eastAsia="仿宋_GB2312"/>
          <w:b w:val="0"/>
          <w:bCs/>
          <w:sz w:val="32"/>
          <w:szCs w:val="32"/>
          <w:highlight w:val="none"/>
        </w:rPr>
        <w:t>负责管理驻外农民工工作站，</w:t>
      </w:r>
      <w:r>
        <w:rPr>
          <w:rFonts w:hint="eastAsia" w:ascii="仿宋_GB2312" w:hAnsi="仿宋_GB2312" w:eastAsia="仿宋_GB2312" w:cs="仿宋_GB2312"/>
          <w:b w:val="0"/>
          <w:bCs/>
          <w:sz w:val="32"/>
          <w:szCs w:val="32"/>
          <w:highlight w:val="none"/>
        </w:rPr>
        <w:t>指导全市农民工服务体系标准化建设；</w:t>
      </w:r>
      <w:r>
        <w:rPr>
          <w:rFonts w:ascii="仿宋_GB2312" w:eastAsia="仿宋_GB2312"/>
          <w:b w:val="0"/>
          <w:bCs/>
          <w:sz w:val="32"/>
          <w:szCs w:val="32"/>
          <w:highlight w:val="none"/>
        </w:rPr>
        <w:t>负责农民工服务平台管理和维护</w:t>
      </w:r>
      <w:r>
        <w:rPr>
          <w:rFonts w:hint="eastAsia" w:ascii="仿宋_GB2312" w:eastAsia="仿宋_GB2312"/>
          <w:b w:val="0"/>
          <w:bCs/>
          <w:sz w:val="32"/>
          <w:szCs w:val="32"/>
          <w:highlight w:val="none"/>
        </w:rPr>
        <w:t>，</w:t>
      </w:r>
      <w:r>
        <w:rPr>
          <w:rFonts w:ascii="仿宋_GB2312" w:eastAsia="仿宋_GB2312"/>
          <w:b w:val="0"/>
          <w:bCs/>
          <w:sz w:val="32"/>
          <w:szCs w:val="32"/>
          <w:highlight w:val="none"/>
        </w:rPr>
        <w:t>做好农民工数据统计工作</w:t>
      </w:r>
      <w:r>
        <w:rPr>
          <w:rFonts w:hint="eastAsia" w:ascii="仿宋_GB2312" w:eastAsia="仿宋_GB2312"/>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（二）就业创业科。</w:t>
      </w:r>
      <w:r>
        <w:rPr>
          <w:rFonts w:hint="eastAsia" w:ascii="仿宋_GB2312" w:hAnsi="仿宋_GB2312" w:eastAsia="仿宋_GB2312" w:cs="仿宋_GB2312"/>
          <w:b w:val="0"/>
          <w:bCs/>
          <w:sz w:val="32"/>
          <w:szCs w:val="32"/>
          <w:highlight w:val="none"/>
        </w:rPr>
        <w:t>组织实施农民工劳务输出、技能培训和返乡就业创业工作；组织开展回引培养、政策咨询、项目推荐、创业孵化等服务工作；参与返乡下乡创业示范县区、乡镇和示范园（孵化园）的评选工作；</w:t>
      </w:r>
      <w:r>
        <w:rPr>
          <w:rFonts w:hint="eastAsia" w:ascii="仿宋_GB2312" w:eastAsia="仿宋_GB2312"/>
          <w:b w:val="0"/>
          <w:bCs/>
          <w:sz w:val="32"/>
          <w:szCs w:val="32"/>
          <w:highlight w:val="none"/>
        </w:rPr>
        <w:t>指导管理市返乡创业协会，</w:t>
      </w:r>
      <w:r>
        <w:rPr>
          <w:rFonts w:hint="eastAsia" w:ascii="仿宋_GB2312" w:hAnsi="仿宋_GB2312" w:eastAsia="仿宋_GB2312" w:cs="仿宋_GB2312"/>
          <w:b w:val="0"/>
          <w:bCs/>
          <w:sz w:val="32"/>
          <w:szCs w:val="32"/>
          <w:highlight w:val="none"/>
        </w:rPr>
        <w:t>组织农民工参加创新创业、职业技能大赛等活动。</w:t>
      </w:r>
    </w:p>
    <w:p>
      <w:pPr>
        <w:pStyle w:val="4"/>
        <w:rPr>
          <w:rFonts w:ascii="黑体" w:hAnsi="黑体" w:eastAsia="黑体"/>
          <w:b w:val="0"/>
        </w:rPr>
      </w:pPr>
      <w:bookmarkStart w:id="69" w:name="_Toc7154"/>
      <w:r>
        <w:rPr>
          <w:rFonts w:hint="eastAsia" w:ascii="仿宋_GB2312" w:eastAsia="仿宋_GB2312"/>
          <w:b w:val="0"/>
          <w:bCs/>
          <w:sz w:val="32"/>
          <w:szCs w:val="32"/>
          <w:highlight w:val="none"/>
        </w:rPr>
        <w:t>（三）服务保障科</w:t>
      </w:r>
      <w:r>
        <w:rPr>
          <w:rFonts w:ascii="仿宋_GB2312" w:eastAsia="仿宋_GB2312"/>
          <w:b w:val="0"/>
          <w:bCs/>
          <w:sz w:val="32"/>
          <w:szCs w:val="32"/>
          <w:highlight w:val="none"/>
        </w:rPr>
        <w:t>。</w:t>
      </w:r>
      <w:r>
        <w:rPr>
          <w:rFonts w:hint="eastAsia" w:ascii="仿宋_GB2312" w:eastAsia="仿宋_GB2312"/>
          <w:b w:val="0"/>
          <w:bCs/>
          <w:sz w:val="32"/>
          <w:szCs w:val="32"/>
          <w:highlight w:val="none"/>
        </w:rPr>
        <w:t>组织开展农民工及其家庭走访慰问、留守儿童亲情团聚、专列专车等专项服务活动；组织农民工参加文艺创作、体育赛事等活动；</w:t>
      </w:r>
      <w:r>
        <w:rPr>
          <w:rFonts w:ascii="仿宋_GB2312" w:eastAsia="仿宋_GB2312"/>
          <w:b w:val="0"/>
          <w:bCs/>
          <w:sz w:val="32"/>
          <w:szCs w:val="32"/>
          <w:highlight w:val="none"/>
        </w:rPr>
        <w:t>协同开展拖欠农民工工资问题专项治理活动，协调处理拖欠农民工工资案件</w:t>
      </w:r>
      <w:r>
        <w:rPr>
          <w:rFonts w:hint="eastAsia" w:ascii="仿宋_GB2312" w:eastAsia="仿宋_GB2312"/>
          <w:b w:val="0"/>
          <w:bCs/>
          <w:sz w:val="32"/>
          <w:szCs w:val="32"/>
          <w:highlight w:val="none"/>
        </w:rPr>
        <w:t>；</w:t>
      </w:r>
      <w:r>
        <w:rPr>
          <w:rFonts w:ascii="仿宋_GB2312" w:eastAsia="仿宋_GB2312"/>
          <w:b w:val="0"/>
          <w:bCs/>
          <w:sz w:val="32"/>
          <w:szCs w:val="32"/>
          <w:highlight w:val="none"/>
        </w:rPr>
        <w:t>联动开展法律援助，协调</w:t>
      </w:r>
      <w:r>
        <w:rPr>
          <w:rFonts w:hint="eastAsia" w:ascii="仿宋_GB2312" w:eastAsia="仿宋_GB2312"/>
          <w:b w:val="0"/>
          <w:bCs/>
          <w:sz w:val="32"/>
          <w:szCs w:val="32"/>
          <w:highlight w:val="none"/>
        </w:rPr>
        <w:t>处理</w:t>
      </w:r>
      <w:r>
        <w:rPr>
          <w:rFonts w:ascii="仿宋_GB2312" w:eastAsia="仿宋_GB2312"/>
          <w:b w:val="0"/>
          <w:bCs/>
          <w:sz w:val="32"/>
          <w:szCs w:val="32"/>
          <w:highlight w:val="none"/>
        </w:rPr>
        <w:t>农民工伤残伤亡案件和重大劳动纠纷案件</w:t>
      </w:r>
      <w:r>
        <w:rPr>
          <w:rFonts w:hint="eastAsia" w:ascii="仿宋_GB2312" w:eastAsia="仿宋_GB2312"/>
          <w:b w:val="0"/>
          <w:bCs/>
          <w:sz w:val="32"/>
          <w:szCs w:val="32"/>
          <w:highlight w:val="none"/>
        </w:rPr>
        <w:t>。</w:t>
      </w:r>
      <w:bookmarkEnd w:id="69"/>
    </w:p>
    <w:bookmarkEnd w:id="21"/>
    <w:bookmarkEnd w:id="22"/>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70" w:name="_Toc15377204"/>
      <w:bookmarkStart w:id="71" w:name="_Toc15396602"/>
      <w:bookmarkStart w:id="72" w:name="_Toc3084"/>
      <w:r>
        <w:rPr>
          <w:rFonts w:hint="eastAsia" w:ascii="黑体" w:hAnsi="黑体" w:eastAsia="黑体"/>
          <w:b w:val="0"/>
        </w:rPr>
        <w:t>第二部分 2023年度</w:t>
      </w:r>
      <w:r>
        <w:rPr>
          <w:rStyle w:val="30"/>
          <w:rFonts w:hint="eastAsia" w:ascii="黑体" w:hAnsi="黑体" w:eastAsia="黑体"/>
          <w:b w:val="0"/>
          <w:bCs/>
        </w:rPr>
        <w:t>单位决算情况说明</w:t>
      </w:r>
      <w:bookmarkEnd w:id="70"/>
      <w:bookmarkEnd w:id="71"/>
      <w:bookmarkEnd w:id="72"/>
    </w:p>
    <w:p/>
    <w:p>
      <w:pPr>
        <w:pStyle w:val="29"/>
        <w:numPr>
          <w:ilvl w:val="0"/>
          <w:numId w:val="1"/>
        </w:numPr>
        <w:spacing w:line="600" w:lineRule="exact"/>
        <w:ind w:firstLineChars="0"/>
        <w:outlineLvl w:val="1"/>
        <w:rPr>
          <w:rStyle w:val="31"/>
          <w:rFonts w:ascii="黑体" w:hAnsi="黑体" w:eastAsia="黑体"/>
          <w:b w:val="0"/>
        </w:rPr>
      </w:pPr>
      <w:bookmarkStart w:id="73" w:name="_Toc26653"/>
      <w:bookmarkStart w:id="74" w:name="_Toc15377205"/>
      <w:bookmarkStart w:id="75"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73"/>
      <w:bookmarkEnd w:id="74"/>
      <w:bookmarkEnd w:id="75"/>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2023年度收、支总计均为307.23万元。与2022年度相比，收、支总计各减少</w:t>
      </w:r>
      <w:r>
        <w:rPr>
          <w:rFonts w:hint="eastAsia" w:ascii="仿宋" w:hAnsi="仿宋" w:eastAsia="仿宋"/>
          <w:sz w:val="32"/>
          <w:szCs w:val="32"/>
          <w:lang w:val="en-US" w:eastAsia="zh-CN"/>
        </w:rPr>
        <w:t>32.93</w:t>
      </w:r>
      <w:r>
        <w:rPr>
          <w:rFonts w:hint="eastAsia" w:ascii="仿宋" w:hAnsi="仿宋" w:eastAsia="仿宋"/>
          <w:sz w:val="32"/>
          <w:szCs w:val="32"/>
        </w:rPr>
        <w:t>万元，下降</w:t>
      </w:r>
      <w:r>
        <w:rPr>
          <w:rFonts w:hint="eastAsia" w:ascii="仿宋" w:hAnsi="仿宋" w:eastAsia="仿宋"/>
          <w:sz w:val="32"/>
          <w:szCs w:val="32"/>
          <w:lang w:val="en-US" w:eastAsia="zh-CN"/>
        </w:rPr>
        <w:t>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项目资金减少</w:t>
      </w:r>
      <w:r>
        <w:rPr>
          <w:rFonts w:hint="eastAsia" w:ascii="仿宋" w:hAnsi="仿宋" w:eastAsia="仿宋"/>
          <w:sz w:val="32"/>
          <w:szCs w:val="32"/>
        </w:rPr>
        <w:t>。</w:t>
      </w:r>
    </w:p>
    <w:p>
      <w:pPr>
        <w:pStyle w:val="2"/>
        <w:jc w:val="cente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481070" cy="1886585"/>
            <wp:effectExtent l="4445" t="4445" r="1968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hint="default" w:ascii="仿宋" w:hAnsi="仿宋" w:eastAsia="仿宋"/>
          <w:sz w:val="32"/>
          <w:szCs w:val="32"/>
          <w:lang w:val="en-US" w:eastAsia="zh-CN"/>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p>
    <w:p>
      <w:pPr>
        <w:pStyle w:val="29"/>
        <w:numPr>
          <w:ilvl w:val="0"/>
          <w:numId w:val="1"/>
        </w:numPr>
        <w:spacing w:line="600" w:lineRule="exact"/>
        <w:ind w:firstLineChars="0"/>
        <w:outlineLvl w:val="1"/>
        <w:rPr>
          <w:rStyle w:val="31"/>
          <w:rFonts w:ascii="黑体" w:hAnsi="黑体" w:eastAsia="黑体"/>
          <w:b w:val="0"/>
        </w:rPr>
      </w:pPr>
      <w:bookmarkStart w:id="76" w:name="_Toc1409"/>
      <w:bookmarkStart w:id="77" w:name="_Toc15396604"/>
      <w:bookmarkStart w:id="78" w:name="_Toc15377206"/>
      <w:r>
        <w:rPr>
          <w:rFonts w:hint="eastAsia" w:ascii="黑体" w:hAnsi="黑体" w:eastAsia="黑体"/>
          <w:sz w:val="32"/>
          <w:szCs w:val="32"/>
        </w:rPr>
        <w:t>收</w:t>
      </w:r>
      <w:r>
        <w:rPr>
          <w:rStyle w:val="31"/>
          <w:rFonts w:hint="eastAsia" w:ascii="黑体" w:hAnsi="黑体" w:eastAsia="黑体"/>
          <w:b w:val="0"/>
        </w:rPr>
        <w:t>入决算情况说明</w:t>
      </w:r>
      <w:bookmarkEnd w:id="76"/>
      <w:bookmarkEnd w:id="77"/>
      <w:bookmarkEnd w:id="78"/>
    </w:p>
    <w:p>
      <w:pPr>
        <w:spacing w:line="600" w:lineRule="exact"/>
        <w:ind w:firstLine="640" w:firstLineChars="200"/>
        <w:outlineLvl w:val="1"/>
        <w:rPr>
          <w:rFonts w:hint="eastAsia"/>
          <w:lang w:val="en-US" w:eastAsia="zh-CN"/>
        </w:rPr>
      </w:pPr>
      <w:bookmarkStart w:id="79" w:name="_Toc13441"/>
      <w:r>
        <w:rPr>
          <w:rFonts w:hint="eastAsia" w:ascii="仿宋" w:hAnsi="仿宋" w:eastAsia="仿宋"/>
          <w:sz w:val="32"/>
          <w:szCs w:val="32"/>
        </w:rPr>
        <w:t>2023年度本年收入合计</w:t>
      </w:r>
      <w:r>
        <w:rPr>
          <w:rFonts w:ascii="仿宋" w:hAnsi="仿宋" w:eastAsia="仿宋"/>
          <w:b/>
          <w:sz w:val="32"/>
          <w:szCs w:val="32"/>
        </w:rPr>
        <w:t>295.33</w:t>
      </w:r>
      <w:r>
        <w:rPr>
          <w:rFonts w:hint="eastAsia" w:ascii="仿宋" w:hAnsi="仿宋" w:eastAsia="仿宋"/>
          <w:sz w:val="32"/>
          <w:szCs w:val="32"/>
        </w:rPr>
        <w:t>万元，其中：一般公共预算财政拨款收入</w:t>
      </w:r>
      <w:r>
        <w:rPr>
          <w:rFonts w:ascii="仿宋" w:hAnsi="仿宋" w:eastAsia="仿宋"/>
          <w:b/>
          <w:sz w:val="32"/>
          <w:szCs w:val="32"/>
        </w:rPr>
        <w:t>275.53</w:t>
      </w:r>
      <w:r>
        <w:rPr>
          <w:rFonts w:hint="eastAsia" w:ascii="仿宋" w:hAnsi="仿宋" w:eastAsia="仿宋"/>
          <w:sz w:val="32"/>
          <w:szCs w:val="32"/>
        </w:rPr>
        <w:t>万元，占</w:t>
      </w:r>
      <w:r>
        <w:rPr>
          <w:rFonts w:ascii="仿宋" w:hAnsi="仿宋" w:eastAsia="仿宋"/>
          <w:b/>
          <w:sz w:val="32"/>
          <w:szCs w:val="32"/>
        </w:rPr>
        <w:t>93.</w:t>
      </w:r>
      <w:r>
        <w:rPr>
          <w:rFonts w:hint="eastAsia" w:ascii="仿宋" w:hAnsi="仿宋" w:eastAsia="仿宋"/>
          <w:b/>
          <w:sz w:val="32"/>
          <w:szCs w:val="32"/>
          <w:lang w:val="en-US" w:eastAsia="zh-CN"/>
        </w:rPr>
        <w:t>3</w:t>
      </w:r>
      <w:r>
        <w:rPr>
          <w:rFonts w:ascii="仿宋" w:hAnsi="仿宋" w:eastAsia="仿宋"/>
          <w:b/>
          <w:sz w:val="32"/>
          <w:szCs w:val="32"/>
        </w:rPr>
        <w:t>%</w:t>
      </w:r>
      <w:r>
        <w:rPr>
          <w:rFonts w:hint="eastAsia" w:ascii="仿宋" w:hAnsi="仿宋" w:eastAsia="仿宋"/>
          <w:sz w:val="32"/>
          <w:szCs w:val="32"/>
        </w:rPr>
        <w:t>；其他收入</w:t>
      </w:r>
      <w:r>
        <w:rPr>
          <w:rFonts w:ascii="仿宋" w:hAnsi="仿宋" w:eastAsia="仿宋"/>
          <w:b/>
          <w:sz w:val="32"/>
          <w:szCs w:val="32"/>
        </w:rPr>
        <w:t>19.8</w:t>
      </w:r>
      <w:r>
        <w:rPr>
          <w:rFonts w:hint="eastAsia" w:ascii="仿宋" w:hAnsi="仿宋" w:eastAsia="仿宋"/>
          <w:sz w:val="32"/>
          <w:szCs w:val="32"/>
        </w:rPr>
        <w:t>万元，占</w:t>
      </w:r>
      <w:r>
        <w:rPr>
          <w:rFonts w:ascii="仿宋" w:hAnsi="仿宋" w:eastAsia="仿宋"/>
          <w:b/>
          <w:sz w:val="32"/>
          <w:szCs w:val="32"/>
        </w:rPr>
        <w:t>6.7</w:t>
      </w:r>
      <w:r>
        <w:rPr>
          <w:rFonts w:ascii="仿宋" w:hAnsi="仿宋" w:eastAsia="仿宋"/>
          <w:sz w:val="32"/>
          <w:szCs w:val="32"/>
        </w:rPr>
        <w:t>%</w:t>
      </w:r>
      <w:bookmarkEnd w:id="79"/>
    </w:p>
    <w:p>
      <w:pPr>
        <w:pStyle w:val="2"/>
        <w:jc w:val="center"/>
        <w:rPr>
          <w:rFonts w:hint="eastAsia"/>
          <w:lang w:val="en-US" w:eastAsia="zh-CN"/>
        </w:rPr>
      </w:pPr>
      <w:r>
        <w:rPr>
          <w:rFonts w:hint="eastAsia"/>
          <w:lang w:val="en-US" w:eastAsia="zh-CN"/>
        </w:rPr>
        <w:drawing>
          <wp:inline distT="0" distB="0" distL="114300" distR="114300">
            <wp:extent cx="3089910" cy="1931035"/>
            <wp:effectExtent l="5080" t="4445" r="10160"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单位：万元</w:t>
      </w:r>
      <w:r>
        <w:rPr>
          <w:rFonts w:hint="eastAsia" w:ascii="仿宋_GB2312" w:hAnsi="仿宋_GB2312" w:eastAsia="仿宋_GB2312" w:cs="仿宋_GB2312"/>
          <w:color w:val="auto"/>
          <w:sz w:val="32"/>
          <w:szCs w:val="32"/>
          <w:highlight w:val="none"/>
        </w:rPr>
        <w:t>）</w:t>
      </w:r>
    </w:p>
    <w:p>
      <w:pPr>
        <w:pStyle w:val="29"/>
        <w:numPr>
          <w:ilvl w:val="0"/>
          <w:numId w:val="1"/>
        </w:numPr>
        <w:spacing w:line="600" w:lineRule="exact"/>
        <w:ind w:firstLineChars="0"/>
        <w:outlineLvl w:val="1"/>
        <w:rPr>
          <w:rStyle w:val="31"/>
          <w:rFonts w:ascii="黑体" w:hAnsi="黑体" w:eastAsia="黑体"/>
          <w:b w:val="0"/>
        </w:rPr>
      </w:pPr>
      <w:bookmarkStart w:id="80" w:name="_Toc32297"/>
      <w:bookmarkStart w:id="81" w:name="_Toc15396605"/>
      <w:bookmarkStart w:id="82" w:name="_Toc15377207"/>
      <w:r>
        <w:rPr>
          <w:rFonts w:hint="eastAsia" w:ascii="黑体" w:hAnsi="黑体" w:eastAsia="黑体"/>
          <w:sz w:val="32"/>
          <w:szCs w:val="32"/>
        </w:rPr>
        <w:t>支</w:t>
      </w:r>
      <w:r>
        <w:rPr>
          <w:rStyle w:val="31"/>
          <w:rFonts w:hint="eastAsia" w:ascii="黑体" w:hAnsi="黑体" w:eastAsia="黑体"/>
          <w:b w:val="0"/>
        </w:rPr>
        <w:t>出决算情况说明</w:t>
      </w:r>
      <w:bookmarkEnd w:id="80"/>
      <w:bookmarkEnd w:id="81"/>
      <w:bookmarkEnd w:id="82"/>
    </w:p>
    <w:p>
      <w:pPr>
        <w:spacing w:line="600" w:lineRule="exact"/>
        <w:ind w:firstLine="640" w:firstLineChars="200"/>
        <w:outlineLvl w:val="1"/>
        <w:rPr>
          <w:rFonts w:ascii="仿宋" w:hAnsi="仿宋" w:eastAsia="仿宋"/>
          <w:sz w:val="32"/>
          <w:szCs w:val="32"/>
        </w:rPr>
      </w:pPr>
      <w:bookmarkStart w:id="83" w:name="_Toc6312"/>
      <w:r>
        <w:rPr>
          <w:rFonts w:hint="eastAsia" w:ascii="仿宋" w:hAnsi="仿宋" w:eastAsia="仿宋"/>
          <w:sz w:val="32"/>
          <w:szCs w:val="32"/>
        </w:rPr>
        <w:t>2023年度本年支出合计</w:t>
      </w:r>
      <w:r>
        <w:rPr>
          <w:rFonts w:ascii="仿宋" w:hAnsi="仿宋" w:eastAsia="仿宋"/>
          <w:b/>
          <w:sz w:val="32"/>
          <w:szCs w:val="32"/>
        </w:rPr>
        <w:t>296.83</w:t>
      </w:r>
      <w:r>
        <w:rPr>
          <w:rFonts w:hint="eastAsia" w:ascii="仿宋" w:hAnsi="仿宋" w:eastAsia="仿宋"/>
          <w:sz w:val="32"/>
          <w:szCs w:val="32"/>
        </w:rPr>
        <w:t>万元，其中：基本支出</w:t>
      </w:r>
      <w:r>
        <w:rPr>
          <w:rFonts w:ascii="仿宋" w:hAnsi="仿宋" w:eastAsia="仿宋"/>
          <w:b/>
          <w:sz w:val="32"/>
          <w:szCs w:val="32"/>
        </w:rPr>
        <w:t>242.7</w:t>
      </w:r>
      <w:r>
        <w:rPr>
          <w:rFonts w:hint="eastAsia" w:ascii="仿宋" w:hAnsi="仿宋" w:eastAsia="仿宋"/>
          <w:b/>
          <w:sz w:val="32"/>
          <w:szCs w:val="32"/>
          <w:lang w:val="en-US" w:eastAsia="zh-CN"/>
        </w:rPr>
        <w:t>4</w:t>
      </w:r>
      <w:r>
        <w:rPr>
          <w:rFonts w:hint="eastAsia" w:ascii="仿宋" w:hAnsi="仿宋" w:eastAsia="仿宋"/>
          <w:sz w:val="32"/>
          <w:szCs w:val="32"/>
        </w:rPr>
        <w:t>万元，占</w:t>
      </w:r>
      <w:r>
        <w:rPr>
          <w:rFonts w:ascii="仿宋" w:hAnsi="仿宋" w:eastAsia="仿宋"/>
          <w:b/>
          <w:sz w:val="32"/>
          <w:szCs w:val="32"/>
        </w:rPr>
        <w:t>81.7</w:t>
      </w:r>
      <w:r>
        <w:rPr>
          <w:rFonts w:hint="eastAsia" w:ascii="仿宋" w:hAnsi="仿宋" w:eastAsia="仿宋"/>
          <w:b/>
          <w:sz w:val="32"/>
          <w:szCs w:val="32"/>
          <w:lang w:val="en-US" w:eastAsia="zh-CN"/>
        </w:rPr>
        <w:t>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54.09</w:t>
      </w:r>
      <w:r>
        <w:rPr>
          <w:rFonts w:hint="eastAsia" w:ascii="仿宋" w:hAnsi="仿宋" w:eastAsia="仿宋"/>
          <w:sz w:val="32"/>
          <w:szCs w:val="32"/>
        </w:rPr>
        <w:t>万元，占</w:t>
      </w:r>
      <w:r>
        <w:rPr>
          <w:rFonts w:ascii="仿宋" w:hAnsi="仿宋" w:eastAsia="仿宋"/>
          <w:b/>
          <w:sz w:val="32"/>
          <w:szCs w:val="32"/>
        </w:rPr>
        <w:t>18.22</w:t>
      </w:r>
      <w:r>
        <w:rPr>
          <w:rFonts w:ascii="仿宋" w:hAnsi="仿宋" w:eastAsia="仿宋"/>
          <w:sz w:val="32"/>
          <w:szCs w:val="32"/>
        </w:rPr>
        <w:t>%</w:t>
      </w:r>
      <w:r>
        <w:rPr>
          <w:rFonts w:hint="eastAsia" w:ascii="仿宋" w:hAnsi="仿宋" w:eastAsia="仿宋"/>
          <w:sz w:val="32"/>
          <w:szCs w:val="32"/>
        </w:rPr>
        <w:t>。</w:t>
      </w:r>
      <w:bookmarkEnd w:id="83"/>
    </w:p>
    <w:p>
      <w:pPr>
        <w:pStyle w:val="2"/>
        <w:jc w:val="center"/>
        <w:rPr>
          <w:rFonts w:hint="eastAsia" w:eastAsia="仿宋_GB2312"/>
          <w:lang w:eastAsia="zh-CN"/>
        </w:rPr>
      </w:pPr>
      <w:r>
        <w:rPr>
          <w:rFonts w:hint="eastAsia" w:eastAsia="仿宋_GB2312"/>
          <w:lang w:eastAsia="zh-CN"/>
        </w:rPr>
        <w:drawing>
          <wp:inline distT="0" distB="0" distL="114300" distR="114300">
            <wp:extent cx="3533140" cy="1731010"/>
            <wp:effectExtent l="4445" t="5080" r="5715"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hint="eastAsia" w:eastAsia="仿宋"/>
          <w:lang w:eastAsia="zh-CN"/>
        </w:rPr>
      </w:pPr>
      <w:r>
        <w:rPr>
          <w:rFonts w:hint="eastAsia" w:ascii="仿宋" w:hAnsi="仿宋" w:eastAsia="仿宋"/>
          <w:sz w:val="32"/>
          <w:szCs w:val="32"/>
        </w:rPr>
        <w:t>图3：支出决算结构图</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lang w:eastAsia="zh-CN"/>
        </w:rPr>
        <w:t>）</w:t>
      </w:r>
    </w:p>
    <w:p>
      <w:pPr>
        <w:spacing w:line="600" w:lineRule="exact"/>
        <w:ind w:firstLine="640" w:firstLineChars="200"/>
        <w:outlineLvl w:val="1"/>
        <w:rPr>
          <w:rStyle w:val="31"/>
          <w:rFonts w:ascii="黑体" w:hAnsi="黑体" w:eastAsia="黑体"/>
          <w:b w:val="0"/>
        </w:rPr>
      </w:pPr>
      <w:bookmarkStart w:id="84" w:name="_Toc15377208"/>
      <w:bookmarkStart w:id="85" w:name="_Toc15396606"/>
      <w:bookmarkStart w:id="86" w:name="_Toc12404"/>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84"/>
      <w:bookmarkEnd w:id="85"/>
      <w:bookmarkEnd w:id="86"/>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hint="eastAsia" w:ascii="仿宋" w:hAnsi="仿宋" w:eastAsia="仿宋"/>
          <w:sz w:val="32"/>
          <w:szCs w:val="32"/>
          <w:lang w:val="en-US" w:eastAsia="zh-CN"/>
        </w:rPr>
        <w:t>287.43</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52.73</w:t>
      </w:r>
      <w:r>
        <w:rPr>
          <w:rFonts w:hint="eastAsia" w:ascii="仿宋" w:hAnsi="仿宋" w:eastAsia="仿宋"/>
          <w:sz w:val="32"/>
          <w:szCs w:val="32"/>
        </w:rPr>
        <w:t>万元，下降</w:t>
      </w:r>
      <w:r>
        <w:rPr>
          <w:rFonts w:hint="eastAsia" w:ascii="仿宋" w:hAnsi="仿宋" w:eastAsia="仿宋"/>
          <w:sz w:val="32"/>
          <w:szCs w:val="32"/>
          <w:lang w:val="en-US" w:eastAsia="zh-CN"/>
        </w:rPr>
        <w:t>15.5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项目资金减少</w:t>
      </w:r>
      <w:r>
        <w:rPr>
          <w:rFonts w:hint="eastAsia" w:ascii="仿宋" w:hAnsi="仿宋" w:eastAsia="仿宋"/>
          <w:sz w:val="32"/>
          <w:szCs w:val="32"/>
        </w:rPr>
        <w:t>。</w:t>
      </w:r>
    </w:p>
    <w:p>
      <w:pPr>
        <w:pStyle w:val="2"/>
        <w:jc w:val="center"/>
      </w:pPr>
      <w:r>
        <w:drawing>
          <wp:inline distT="0" distB="0" distL="114300" distR="114300">
            <wp:extent cx="3764280" cy="2352675"/>
            <wp:effectExtent l="4445" t="4445" r="22225"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right"/>
      </w:pPr>
      <w:r>
        <w:rPr>
          <w:rFonts w:hint="eastAsia" w:ascii="仿宋" w:hAnsi="仿宋" w:eastAsia="仿宋"/>
          <w:sz w:val="32"/>
          <w:szCs w:val="32"/>
        </w:rPr>
        <w:t>图4：财政拨款收、支决算总计变动情况</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p>
    <w:p>
      <w:pPr>
        <w:spacing w:line="600" w:lineRule="exact"/>
        <w:ind w:firstLine="640" w:firstLineChars="200"/>
        <w:outlineLvl w:val="1"/>
        <w:rPr>
          <w:rStyle w:val="31"/>
          <w:rFonts w:ascii="黑体" w:hAnsi="黑体" w:eastAsia="黑体"/>
          <w:b w:val="0"/>
        </w:rPr>
      </w:pPr>
      <w:bookmarkStart w:id="87" w:name="_Toc15396607"/>
      <w:bookmarkStart w:id="88" w:name="_Toc2597"/>
      <w:bookmarkStart w:id="89"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87"/>
      <w:bookmarkEnd w:id="88"/>
      <w:bookmarkEnd w:id="89"/>
    </w:p>
    <w:p>
      <w:pPr>
        <w:spacing w:line="600" w:lineRule="exact"/>
        <w:ind w:firstLine="642" w:firstLineChars="200"/>
        <w:outlineLvl w:val="2"/>
        <w:rPr>
          <w:rFonts w:ascii="仿宋" w:hAnsi="仿宋" w:eastAsia="仿宋"/>
          <w:b/>
          <w:sz w:val="32"/>
          <w:szCs w:val="32"/>
        </w:rPr>
      </w:pPr>
      <w:bookmarkStart w:id="90" w:name="_Toc15377210"/>
      <w:r>
        <w:rPr>
          <w:rFonts w:hint="eastAsia" w:ascii="仿宋" w:hAnsi="仿宋" w:eastAsia="仿宋"/>
          <w:b/>
          <w:sz w:val="32"/>
          <w:szCs w:val="32"/>
        </w:rPr>
        <w:t>（一）一般公共预算财政拨款支出决算总体情况</w:t>
      </w:r>
      <w:bookmarkEnd w:id="90"/>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2023年度一般公共预算财政拨款支出277.03万元，占本年支出合计的93.32%。与2022年度相比，一般公共预算财政拨款支出减少</w:t>
      </w:r>
      <w:r>
        <w:rPr>
          <w:rFonts w:hint="eastAsia" w:ascii="仿宋" w:hAnsi="仿宋" w:eastAsia="仿宋"/>
          <w:sz w:val="32"/>
          <w:szCs w:val="32"/>
          <w:lang w:val="en-US" w:eastAsia="zh-CN"/>
        </w:rPr>
        <w:t>51.23</w:t>
      </w:r>
      <w:r>
        <w:rPr>
          <w:rFonts w:hint="eastAsia" w:ascii="仿宋" w:hAnsi="仿宋" w:eastAsia="仿宋"/>
          <w:sz w:val="32"/>
          <w:szCs w:val="32"/>
        </w:rPr>
        <w:t>万元，下降</w:t>
      </w:r>
      <w:r>
        <w:rPr>
          <w:rFonts w:hint="eastAsia" w:ascii="仿宋" w:hAnsi="仿宋" w:eastAsia="仿宋"/>
          <w:sz w:val="32"/>
          <w:szCs w:val="32"/>
          <w:lang w:val="en-US" w:eastAsia="zh-CN"/>
        </w:rPr>
        <w:t>15.61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项目资金减少</w:t>
      </w:r>
      <w:r>
        <w:rPr>
          <w:rFonts w:hint="eastAsia" w:ascii="仿宋" w:hAnsi="仿宋" w:eastAsia="仿宋"/>
          <w:sz w:val="32"/>
          <w:szCs w:val="32"/>
        </w:rPr>
        <w:t>。</w:t>
      </w:r>
    </w:p>
    <w:p>
      <w:pPr>
        <w:pStyle w:val="2"/>
        <w:rPr>
          <w:rFonts w:hint="eastAsia"/>
          <w:lang w:val="en-US" w:eastAsia="zh-CN"/>
        </w:rPr>
      </w:pPr>
      <w:r>
        <w:rPr>
          <w:rFonts w:hint="eastAsia"/>
          <w:lang w:val="en-US" w:eastAsia="zh-CN"/>
        </w:rPr>
        <w:drawing>
          <wp:inline distT="0" distB="0" distL="114300" distR="114300">
            <wp:extent cx="5279390" cy="2153920"/>
            <wp:effectExtent l="4445" t="4445" r="1206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eastAsia" w:eastAsia="仿宋"/>
          <w:spacing w:val="-11"/>
          <w:lang w:val="en-US" w:eastAsia="zh-CN"/>
        </w:rPr>
      </w:pPr>
      <w:r>
        <w:rPr>
          <w:rFonts w:hint="eastAsia" w:ascii="仿宋" w:hAnsi="仿宋" w:eastAsia="仿宋"/>
          <w:spacing w:val="-11"/>
          <w:sz w:val="28"/>
          <w:szCs w:val="28"/>
        </w:rPr>
        <w:t>图5：一般公共预算财政拨款支出决算变动情况</w:t>
      </w:r>
      <w:r>
        <w:rPr>
          <w:rFonts w:hint="eastAsia" w:ascii="仿宋" w:hAnsi="仿宋" w:eastAsia="仿宋"/>
          <w:spacing w:val="-11"/>
          <w:sz w:val="28"/>
          <w:szCs w:val="28"/>
          <w:lang w:eastAsia="zh-CN"/>
        </w:rPr>
        <w:t>（</w:t>
      </w:r>
      <w:r>
        <w:rPr>
          <w:rFonts w:hint="eastAsia" w:ascii="仿宋" w:hAnsi="仿宋" w:eastAsia="仿宋"/>
          <w:spacing w:val="-11"/>
          <w:sz w:val="28"/>
          <w:szCs w:val="28"/>
          <w:lang w:val="en-US" w:eastAsia="zh-CN"/>
        </w:rPr>
        <w:t>单位：万元</w:t>
      </w:r>
      <w:r>
        <w:rPr>
          <w:rFonts w:hint="eastAsia" w:ascii="仿宋" w:hAnsi="仿宋" w:eastAsia="仿宋"/>
          <w:spacing w:val="-11"/>
          <w:sz w:val="32"/>
          <w:szCs w:val="32"/>
          <w:lang w:eastAsia="zh-CN"/>
        </w:rPr>
        <w:t>）</w:t>
      </w:r>
    </w:p>
    <w:p>
      <w:pPr>
        <w:spacing w:line="600" w:lineRule="exact"/>
        <w:ind w:firstLine="642" w:firstLineChars="200"/>
        <w:outlineLvl w:val="2"/>
        <w:rPr>
          <w:rFonts w:ascii="仿宋" w:hAnsi="仿宋" w:eastAsia="仿宋"/>
          <w:b/>
          <w:sz w:val="32"/>
          <w:szCs w:val="32"/>
        </w:rPr>
      </w:pPr>
      <w:bookmarkStart w:id="91" w:name="_Toc15377211"/>
      <w:r>
        <w:rPr>
          <w:rFonts w:hint="eastAsia" w:ascii="仿宋" w:hAnsi="仿宋" w:eastAsia="仿宋"/>
          <w:b/>
          <w:sz w:val="32"/>
          <w:szCs w:val="32"/>
        </w:rPr>
        <w:t>（二）一般公共预算财政拨款支出决算结构情况</w:t>
      </w:r>
      <w:bookmarkEnd w:id="91"/>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277.03</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253.12</w:t>
      </w:r>
      <w:r>
        <w:rPr>
          <w:rFonts w:hint="eastAsia" w:ascii="仿宋" w:hAnsi="仿宋" w:eastAsia="仿宋"/>
          <w:sz w:val="32"/>
          <w:szCs w:val="32"/>
        </w:rPr>
        <w:t>万元，占</w:t>
      </w:r>
      <w:r>
        <w:rPr>
          <w:rFonts w:hint="eastAsia" w:ascii="仿宋" w:hAnsi="仿宋" w:eastAsia="仿宋"/>
          <w:sz w:val="32"/>
          <w:szCs w:val="32"/>
          <w:lang w:val="en-US" w:eastAsia="zh-CN"/>
        </w:rPr>
        <w:t>91.37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6.86</w:t>
      </w:r>
      <w:r>
        <w:rPr>
          <w:rFonts w:hint="eastAsia" w:ascii="仿宋" w:hAnsi="仿宋" w:eastAsia="仿宋"/>
          <w:sz w:val="32"/>
          <w:szCs w:val="32"/>
        </w:rPr>
        <w:t>万元，占</w:t>
      </w:r>
      <w:r>
        <w:rPr>
          <w:rFonts w:hint="eastAsia" w:ascii="仿宋" w:hAnsi="仿宋" w:eastAsia="仿宋"/>
          <w:sz w:val="32"/>
          <w:szCs w:val="32"/>
          <w:lang w:val="en-US" w:eastAsia="zh-CN"/>
        </w:rPr>
        <w:t>2.48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17.05</w:t>
      </w:r>
      <w:r>
        <w:rPr>
          <w:rFonts w:hint="eastAsia" w:ascii="仿宋" w:hAnsi="仿宋" w:eastAsia="仿宋"/>
          <w:sz w:val="32"/>
          <w:szCs w:val="32"/>
        </w:rPr>
        <w:t>万元，占</w:t>
      </w:r>
      <w:r>
        <w:rPr>
          <w:rFonts w:hint="eastAsia" w:ascii="仿宋" w:hAnsi="仿宋" w:eastAsia="仿宋"/>
          <w:sz w:val="32"/>
          <w:szCs w:val="32"/>
          <w:lang w:val="en-US" w:eastAsia="zh-CN"/>
        </w:rPr>
        <w:t>6.15</w:t>
      </w:r>
      <w:r>
        <w:rPr>
          <w:rFonts w:ascii="仿宋" w:hAnsi="仿宋" w:eastAsia="仿宋"/>
          <w:sz w:val="32"/>
          <w:szCs w:val="32"/>
        </w:rPr>
        <w:t>%</w:t>
      </w:r>
      <w:r>
        <w:rPr>
          <w:rFonts w:hint="eastAsia" w:ascii="仿宋" w:hAnsi="仿宋" w:eastAsia="仿宋"/>
          <w:sz w:val="32"/>
          <w:szCs w:val="32"/>
        </w:rPr>
        <w:t>。</w:t>
      </w:r>
    </w:p>
    <w:p>
      <w:pPr>
        <w:pStyle w:val="2"/>
        <w:jc w:val="right"/>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4769485" cy="1664335"/>
            <wp:effectExtent l="5080" t="5080" r="698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hint="default" w:ascii="仿宋" w:hAnsi="仿宋" w:eastAsia="仿宋"/>
          <w:sz w:val="32"/>
          <w:szCs w:val="32"/>
          <w:lang w:val="en-US"/>
        </w:rPr>
      </w:pPr>
      <w:r>
        <w:rPr>
          <w:rFonts w:hint="eastAsia" w:ascii="仿宋" w:hAnsi="仿宋" w:eastAsia="仿宋"/>
          <w:sz w:val="32"/>
          <w:szCs w:val="32"/>
        </w:rPr>
        <w:t>图6：一般公共预算财政拨款支出决算结构</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p>
    <w:p>
      <w:pPr>
        <w:spacing w:line="600" w:lineRule="exact"/>
        <w:ind w:firstLine="642" w:firstLineChars="200"/>
        <w:outlineLvl w:val="2"/>
        <w:rPr>
          <w:rFonts w:ascii="仿宋" w:hAnsi="仿宋" w:eastAsia="仿宋"/>
          <w:b/>
          <w:sz w:val="32"/>
          <w:szCs w:val="32"/>
        </w:rPr>
      </w:pPr>
      <w:bookmarkStart w:id="92" w:name="_Toc15377212"/>
      <w:r>
        <w:rPr>
          <w:rFonts w:hint="eastAsia" w:ascii="仿宋" w:hAnsi="仿宋" w:eastAsia="仿宋"/>
          <w:b/>
          <w:sz w:val="32"/>
          <w:szCs w:val="32"/>
        </w:rPr>
        <w:t>（三）一般公共预算财政拨款支出决算具体情况</w:t>
      </w:r>
      <w:bookmarkEnd w:id="92"/>
    </w:p>
    <w:p>
      <w:pPr>
        <w:spacing w:line="600" w:lineRule="exact"/>
        <w:ind w:firstLine="642" w:firstLineChars="200"/>
        <w:outlineLvl w:val="1"/>
        <w:rPr>
          <w:rFonts w:ascii="仿宋" w:hAnsi="仿宋" w:eastAsia="仿宋"/>
          <w:sz w:val="32"/>
          <w:szCs w:val="32"/>
        </w:rPr>
      </w:pPr>
      <w:bookmarkStart w:id="93" w:name="_Toc15377213"/>
      <w:bookmarkStart w:id="94" w:name="_Toc15378460"/>
      <w:bookmarkStart w:id="95" w:name="_Toc15377444"/>
      <w:bookmarkStart w:id="96" w:name="_Toc21765"/>
      <w:r>
        <w:rPr>
          <w:rFonts w:hint="eastAsia" w:ascii="仿宋" w:hAnsi="仿宋" w:eastAsia="仿宋"/>
          <w:b/>
          <w:sz w:val="32"/>
          <w:szCs w:val="32"/>
        </w:rPr>
        <w:t>2023年度一般公共预算支出决算数为</w:t>
      </w:r>
      <w:r>
        <w:rPr>
          <w:rFonts w:ascii="仿宋" w:hAnsi="仿宋" w:eastAsia="仿宋"/>
          <w:b/>
          <w:sz w:val="32"/>
          <w:szCs w:val="32"/>
        </w:rPr>
        <w:t>277.03</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96</w:t>
      </w:r>
      <w:r>
        <w:rPr>
          <w:rStyle w:val="16"/>
          <w:rFonts w:ascii="仿宋" w:hAnsi="仿宋" w:eastAsia="仿宋"/>
          <w:bCs/>
          <w:sz w:val="32"/>
          <w:szCs w:val="32"/>
        </w:rPr>
        <w:t>%</w:t>
      </w:r>
      <w:r>
        <w:rPr>
          <w:rStyle w:val="16"/>
          <w:rFonts w:hint="eastAsia" w:ascii="仿宋" w:hAnsi="仿宋" w:eastAsia="仿宋"/>
          <w:bCs/>
          <w:sz w:val="32"/>
          <w:szCs w:val="32"/>
        </w:rPr>
        <w:t>。其中：</w:t>
      </w:r>
      <w:bookmarkEnd w:id="93"/>
      <w:bookmarkEnd w:id="94"/>
      <w:bookmarkEnd w:id="95"/>
      <w:bookmarkEnd w:id="96"/>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支出</w:t>
      </w:r>
      <w:r>
        <w:rPr>
          <w:rStyle w:val="16"/>
          <w:rFonts w:hint="eastAsia" w:ascii="仿宋" w:hAnsi="仿宋" w:eastAsia="仿宋"/>
          <w:bCs/>
          <w:sz w:val="32"/>
          <w:szCs w:val="32"/>
        </w:rPr>
        <w:t>（类）人力资源和社会保障管理事务（款）综合业务管理（项）</w:t>
      </w:r>
      <w:r>
        <w:rPr>
          <w:rStyle w:val="16"/>
          <w:rFonts w:hint="eastAsia" w:ascii="仿宋" w:hAnsi="仿宋" w:eastAsia="仿宋"/>
          <w:bCs/>
          <w:sz w:val="32"/>
          <w:szCs w:val="32"/>
          <w:lang w:eastAsia="zh-CN"/>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176.41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94</w:t>
      </w:r>
      <w:r>
        <w:rPr>
          <w:rStyle w:val="16"/>
          <w:rFonts w:ascii="仿宋" w:hAnsi="仿宋" w:eastAsia="仿宋"/>
          <w:b w:val="0"/>
          <w:bCs/>
          <w:sz w:val="32"/>
          <w:szCs w:val="32"/>
        </w:rPr>
        <w:t>%</w:t>
      </w:r>
      <w:r>
        <w:rPr>
          <w:rStyle w:val="16"/>
          <w:rFonts w:hint="eastAsia" w:ascii="仿宋" w:hAnsi="仿宋" w:eastAsia="仿宋"/>
          <w:b w:val="0"/>
          <w:bCs/>
          <w:sz w:val="32"/>
          <w:szCs w:val="32"/>
        </w:rPr>
        <w:t>，</w:t>
      </w:r>
      <w:r>
        <w:rPr>
          <w:rStyle w:val="16"/>
          <w:rFonts w:hint="eastAsia" w:ascii="仿宋" w:hAnsi="仿宋" w:eastAsia="仿宋"/>
          <w:b w:val="0"/>
          <w:bCs/>
          <w:sz w:val="32"/>
          <w:szCs w:val="32"/>
          <w:highlight w:val="none"/>
        </w:rPr>
        <w:t>决算数小于预算数的主要原因是部分费用在下年度支付。</w:t>
      </w:r>
    </w:p>
    <w:p>
      <w:pPr>
        <w:spacing w:line="600" w:lineRule="exact"/>
        <w:ind w:firstLine="642"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支出</w:t>
      </w:r>
      <w:r>
        <w:rPr>
          <w:rStyle w:val="16"/>
          <w:rFonts w:hint="eastAsia" w:ascii="仿宋" w:hAnsi="仿宋" w:eastAsia="仿宋"/>
          <w:bCs/>
          <w:sz w:val="32"/>
          <w:szCs w:val="32"/>
        </w:rPr>
        <w:t>（类）人力资源和社会保障管理事务（款）其他人力资源和社会保障管理事务支出（项）</w:t>
      </w:r>
      <w:r>
        <w:rPr>
          <w:rStyle w:val="16"/>
          <w:rFonts w:hint="eastAsia" w:ascii="仿宋" w:hAnsi="仿宋" w:eastAsia="仿宋"/>
          <w:bCs/>
          <w:sz w:val="32"/>
          <w:szCs w:val="32"/>
          <w:lang w:eastAsia="zh-CN"/>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54.09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支出</w:t>
      </w:r>
      <w:r>
        <w:rPr>
          <w:rStyle w:val="16"/>
          <w:rFonts w:hint="eastAsia" w:ascii="仿宋" w:hAnsi="仿宋" w:eastAsia="仿宋"/>
          <w:bCs/>
          <w:sz w:val="32"/>
          <w:szCs w:val="32"/>
        </w:rPr>
        <w:t>（类）行政事业单位养老支出（款）机关事业单位基本养老保险缴费支出（项）</w:t>
      </w:r>
      <w:r>
        <w:rPr>
          <w:rStyle w:val="16"/>
          <w:rFonts w:hint="eastAsia" w:ascii="仿宋" w:hAnsi="仿宋" w:eastAsia="仿宋"/>
          <w:bCs/>
          <w:sz w:val="32"/>
          <w:szCs w:val="32"/>
          <w:lang w:eastAsia="zh-CN"/>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19.12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支出</w:t>
      </w:r>
      <w:r>
        <w:rPr>
          <w:rStyle w:val="16"/>
          <w:rFonts w:hint="eastAsia" w:ascii="仿宋" w:hAnsi="仿宋" w:eastAsia="仿宋"/>
          <w:bCs/>
          <w:sz w:val="32"/>
          <w:szCs w:val="32"/>
        </w:rPr>
        <w:t>（类）行政事业单位养老支出（款）机关事业单位职业年金缴费支出（项）</w:t>
      </w:r>
      <w:r>
        <w:rPr>
          <w:rStyle w:val="16"/>
          <w:rFonts w:hint="eastAsia" w:ascii="仿宋" w:hAnsi="仿宋" w:eastAsia="仿宋"/>
          <w:bCs/>
          <w:sz w:val="32"/>
          <w:szCs w:val="32"/>
          <w:lang w:eastAsia="zh-CN"/>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6"/>
          <w:rFonts w:hint="eastAsia" w:ascii="仿宋" w:hAnsi="仿宋" w:eastAsia="仿宋"/>
          <w:bCs/>
          <w:sz w:val="32"/>
          <w:szCs w:val="32"/>
        </w:rPr>
        <w:t>（类）行政事业单位医疗（款）行政单位医疗（项）</w:t>
      </w:r>
      <w:r>
        <w:rPr>
          <w:rStyle w:val="16"/>
          <w:rFonts w:hint="eastAsia" w:ascii="仿宋" w:hAnsi="仿宋" w:eastAsia="仿宋"/>
          <w:bCs/>
          <w:sz w:val="32"/>
          <w:szCs w:val="32"/>
          <w:lang w:eastAsia="zh-CN"/>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6.86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（类）住房改革支出（款）住房公积金（项）</w:t>
      </w:r>
      <w:r>
        <w:rPr>
          <w:rStyle w:val="16"/>
          <w:rFonts w:hint="eastAsia" w:ascii="仿宋" w:hAnsi="仿宋" w:eastAsia="仿宋"/>
          <w:bCs/>
          <w:sz w:val="32"/>
          <w:szCs w:val="32"/>
          <w:lang w:eastAsia="zh-CN"/>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17.05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tabs>
          <w:tab w:val="right" w:pos="8306"/>
        </w:tabs>
        <w:spacing w:line="600" w:lineRule="exact"/>
        <w:ind w:firstLine="640"/>
        <w:outlineLvl w:val="1"/>
        <w:rPr>
          <w:rStyle w:val="31"/>
        </w:rPr>
      </w:pPr>
      <w:bookmarkStart w:id="97" w:name="_Toc15396608"/>
      <w:bookmarkStart w:id="98" w:name="_Toc15377214"/>
      <w:bookmarkStart w:id="99" w:name="_Toc3148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97"/>
      <w:bookmarkEnd w:id="98"/>
      <w:bookmarkEnd w:id="99"/>
      <w:r>
        <w:rPr>
          <w:rStyle w:val="31"/>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222.95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191.59</w:t>
      </w:r>
      <w:r>
        <w:rPr>
          <w:rFonts w:hint="eastAsia" w:ascii="仿宋" w:hAnsi="仿宋" w:eastAsia="仿宋"/>
          <w:sz w:val="32"/>
          <w:szCs w:val="32"/>
        </w:rPr>
        <w:t>万元，主要包括：基本工资、津贴补贴、奖金、机关事业单位基本养老保险缴费、职业年金缴费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其他社会保障缴费、住房公积金、生活补助。</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31.35</w:t>
      </w:r>
      <w:r>
        <w:rPr>
          <w:rFonts w:hint="eastAsia" w:ascii="仿宋" w:hAnsi="仿宋" w:eastAsia="仿宋"/>
          <w:sz w:val="32"/>
          <w:szCs w:val="32"/>
        </w:rPr>
        <w:t>万元，主要包括：办公费、印刷费、邮电费、差旅费、维修（护）费、租赁费、培训费、公务接待费、劳务费、工会经费、福利费、其他交通费</w:t>
      </w:r>
      <w:r>
        <w:rPr>
          <w:rFonts w:hint="eastAsia" w:ascii="仿宋" w:hAnsi="仿宋" w:eastAsia="仿宋"/>
          <w:sz w:val="32"/>
          <w:szCs w:val="32"/>
          <w:lang w:val="en-US" w:eastAsia="zh-CN"/>
        </w:rPr>
        <w:t>用</w:t>
      </w:r>
      <w:r>
        <w:rPr>
          <w:rFonts w:hint="eastAsia" w:ascii="仿宋" w:hAnsi="仿宋" w:eastAsia="仿宋"/>
          <w:sz w:val="32"/>
          <w:szCs w:val="32"/>
        </w:rPr>
        <w:t>、其他商品和服务支出。</w:t>
      </w:r>
    </w:p>
    <w:p>
      <w:pPr>
        <w:spacing w:line="600" w:lineRule="exact"/>
        <w:ind w:firstLine="640"/>
        <w:outlineLvl w:val="1"/>
        <w:rPr>
          <w:rStyle w:val="31"/>
          <w:rFonts w:ascii="黑体" w:hAnsi="黑体" w:eastAsia="黑体"/>
          <w:b w:val="0"/>
        </w:rPr>
      </w:pPr>
      <w:bookmarkStart w:id="100" w:name="_Toc15396609"/>
      <w:bookmarkStart w:id="101" w:name="_Toc2532"/>
      <w:bookmarkStart w:id="102"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100"/>
      <w:bookmarkEnd w:id="101"/>
      <w:bookmarkEnd w:id="102"/>
    </w:p>
    <w:p>
      <w:pPr>
        <w:spacing w:line="600" w:lineRule="exact"/>
        <w:ind w:firstLine="640"/>
        <w:outlineLvl w:val="2"/>
        <w:rPr>
          <w:rFonts w:ascii="仿宋" w:hAnsi="仿宋" w:eastAsia="仿宋"/>
          <w:b/>
          <w:sz w:val="32"/>
          <w:szCs w:val="32"/>
        </w:rPr>
      </w:pPr>
      <w:bookmarkStart w:id="103" w:name="_Toc15377216"/>
      <w:r>
        <w:rPr>
          <w:rFonts w:hint="eastAsia" w:ascii="仿宋" w:hAnsi="仿宋" w:eastAsia="仿宋"/>
          <w:b/>
          <w:sz w:val="32"/>
          <w:szCs w:val="32"/>
        </w:rPr>
        <w:t>（一）“三公”经费财政拨款支出决算总体情况说明</w:t>
      </w:r>
      <w:bookmarkEnd w:id="103"/>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0.33</w:t>
      </w:r>
      <w:r>
        <w:rPr>
          <w:rFonts w:hint="eastAsia" w:ascii="仿宋" w:hAnsi="仿宋" w:eastAsia="仿宋"/>
          <w:sz w:val="32"/>
          <w:szCs w:val="32"/>
        </w:rPr>
        <w:t>万元，完成预算</w:t>
      </w:r>
      <w:r>
        <w:rPr>
          <w:rFonts w:ascii="仿宋" w:hAnsi="仿宋" w:eastAsia="仿宋"/>
          <w:b/>
          <w:sz w:val="32"/>
          <w:szCs w:val="32"/>
        </w:rPr>
        <w:t>99.81</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0.27</w:t>
      </w:r>
      <w:r>
        <w:rPr>
          <w:rFonts w:hint="eastAsia" w:ascii="仿宋" w:hAnsi="仿宋" w:eastAsia="仿宋"/>
          <w:sz w:val="32"/>
          <w:szCs w:val="32"/>
        </w:rPr>
        <w:t>万元，增长</w:t>
      </w:r>
      <w:r>
        <w:rPr>
          <w:rFonts w:hint="eastAsia" w:ascii="仿宋" w:hAnsi="仿宋" w:eastAsia="仿宋"/>
          <w:sz w:val="32"/>
          <w:szCs w:val="32"/>
          <w:lang w:val="en-US" w:eastAsia="zh-CN"/>
        </w:rPr>
        <w:t>450</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公务接待费年初编制预算较大，实际支出数小于年初数</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104" w:name="_Toc15377217"/>
      <w:r>
        <w:rPr>
          <w:rFonts w:hint="eastAsia" w:ascii="仿宋" w:hAnsi="仿宋" w:eastAsia="仿宋"/>
          <w:b/>
          <w:sz w:val="32"/>
          <w:szCs w:val="32"/>
        </w:rPr>
        <w:t>（二）“三公”经费财政拨款支出决算具体情况说明</w:t>
      </w:r>
      <w:bookmarkEnd w:id="104"/>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0.33</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
        <w:jc w:val="center"/>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3726815" cy="1740535"/>
            <wp:effectExtent l="4445" t="5080" r="2159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jc w:val="center"/>
        <w:rPr>
          <w:rFonts w:hint="eastAsia" w:ascii="仿宋" w:hAnsi="仿宋" w:eastAsia="仿宋"/>
          <w:sz w:val="32"/>
          <w:szCs w:val="32"/>
          <w:lang w:eastAsia="zh-CN"/>
        </w:rPr>
      </w:pPr>
      <w:r>
        <w:rPr>
          <w:rFonts w:hint="eastAsia" w:ascii="仿宋" w:hAnsi="仿宋" w:eastAsia="仿宋"/>
          <w:sz w:val="32"/>
          <w:szCs w:val="32"/>
        </w:rPr>
        <w:t>图7：“三公”经费财政拨款支出结构</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单位：万元</w:t>
      </w:r>
      <w:r>
        <w:rPr>
          <w:rFonts w:hint="eastAsia" w:ascii="仿宋" w:hAnsi="仿宋" w:eastAsia="仿宋"/>
          <w:sz w:val="32"/>
          <w:szCs w:val="32"/>
          <w:lang w:eastAsia="zh-CN"/>
        </w:rPr>
        <w:t>）</w:t>
      </w:r>
    </w:p>
    <w:p>
      <w:pPr>
        <w:spacing w:line="600" w:lineRule="exact"/>
        <w:ind w:firstLine="640"/>
        <w:rPr>
          <w:rFonts w:ascii="仿宋_GB2312" w:eastAsia="仿宋_GB2312"/>
          <w:b/>
          <w:sz w:val="32"/>
          <w:szCs w:val="32"/>
        </w:rPr>
      </w:pPr>
      <w:bookmarkStart w:id="105" w:name="_Toc15396610"/>
      <w:bookmarkStart w:id="106"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hint="eastAsia" w:ascii="仿宋_GB2312" w:eastAsia="仿宋_GB2312"/>
          <w:b/>
          <w:sz w:val="32"/>
          <w:szCs w:val="32"/>
          <w:lang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0.33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99.81%</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0.27</w:t>
      </w:r>
      <w:r>
        <w:rPr>
          <w:rFonts w:hint="eastAsia" w:ascii="仿宋_GB2312" w:eastAsia="仿宋_GB2312"/>
          <w:sz w:val="32"/>
          <w:szCs w:val="32"/>
        </w:rPr>
        <w:t>万元，增长</w:t>
      </w:r>
      <w:r>
        <w:rPr>
          <w:rFonts w:hint="eastAsia" w:ascii="仿宋_GB2312" w:eastAsia="仿宋_GB2312"/>
          <w:sz w:val="32"/>
          <w:szCs w:val="32"/>
          <w:lang w:val="en-US" w:eastAsia="zh-CN"/>
        </w:rPr>
        <w:t>450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2022年因疫情来广人员减少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0.33</w:t>
      </w:r>
      <w:r>
        <w:rPr>
          <w:rFonts w:hint="eastAsia" w:ascii="仿宋_GB2312" w:eastAsia="仿宋_GB2312"/>
          <w:sz w:val="32"/>
          <w:szCs w:val="32"/>
        </w:rPr>
        <w:t>万元，主要</w:t>
      </w:r>
      <w:r>
        <w:rPr>
          <w:rFonts w:hint="eastAsia" w:ascii="仿宋_GB2312" w:eastAsia="仿宋_GB2312"/>
          <w:sz w:val="32"/>
          <w:szCs w:val="32"/>
          <w:highlight w:val="none"/>
        </w:rPr>
        <w:t>用于执行公务、开展业务活动开支</w:t>
      </w:r>
      <w:r>
        <w:rPr>
          <w:rFonts w:hint="eastAsia" w:ascii="仿宋_GB2312" w:eastAsia="仿宋_GB2312"/>
          <w:sz w:val="32"/>
          <w:szCs w:val="32"/>
        </w:rPr>
        <w:t>的交通费、住宿费、用餐费等。国内公务接待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30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0.33</w:t>
      </w:r>
      <w:r>
        <w:rPr>
          <w:rFonts w:hint="eastAsia" w:ascii="仿宋_GB2312" w:eastAsia="仿宋_GB2312"/>
          <w:sz w:val="32"/>
          <w:szCs w:val="32"/>
        </w:rPr>
        <w:t>万元，</w:t>
      </w:r>
      <w:r>
        <w:rPr>
          <w:rFonts w:hint="eastAsia" w:ascii="仿宋_GB2312" w:eastAsia="仿宋_GB2312"/>
          <w:sz w:val="32"/>
          <w:szCs w:val="32"/>
          <w:highlight w:val="none"/>
        </w:rPr>
        <w:t>具体内容包括：餐费0.</w:t>
      </w:r>
      <w:r>
        <w:rPr>
          <w:rFonts w:hint="eastAsia" w:ascii="仿宋_GB2312" w:eastAsia="仿宋_GB2312"/>
          <w:sz w:val="32"/>
          <w:szCs w:val="32"/>
          <w:highlight w:val="none"/>
          <w:lang w:val="en-US" w:eastAsia="zh-CN"/>
        </w:rPr>
        <w:t>33</w:t>
      </w:r>
      <w:r>
        <w:rPr>
          <w:rFonts w:hint="eastAsia" w:ascii="仿宋_GB2312" w:eastAsia="仿宋_GB2312"/>
          <w:sz w:val="32"/>
          <w:szCs w:val="32"/>
          <w:highlight w:val="none"/>
        </w:rPr>
        <w:t>万元。</w:t>
      </w:r>
    </w:p>
    <w:p>
      <w:pPr>
        <w:spacing w:line="600" w:lineRule="exact"/>
        <w:ind w:firstLine="640"/>
        <w:outlineLvl w:val="1"/>
        <w:rPr>
          <w:rFonts w:ascii="黑体" w:eastAsia="黑体"/>
          <w:sz w:val="32"/>
          <w:szCs w:val="32"/>
        </w:rPr>
      </w:pPr>
      <w:bookmarkStart w:id="107" w:name="_Toc23718"/>
      <w:r>
        <w:rPr>
          <w:rFonts w:hint="eastAsia" w:ascii="仿宋" w:hAnsi="仿宋" w:eastAsia="仿宋"/>
          <w:b/>
          <w:sz w:val="32"/>
          <w:szCs w:val="32"/>
          <w:highlight w:val="none"/>
        </w:rPr>
        <w:t>外事接待支出</w:t>
      </w:r>
      <w:r>
        <w:rPr>
          <w:rFonts w:hint="eastAsia" w:ascii="仿宋" w:hAnsi="仿宋" w:eastAsia="仿宋"/>
          <w:sz w:val="32"/>
          <w:szCs w:val="32"/>
          <w:highlight w:val="none"/>
        </w:rPr>
        <w:t>0</w:t>
      </w:r>
      <w:r>
        <w:rPr>
          <w:rFonts w:hint="eastAsia" w:ascii="仿宋_GB2312" w:eastAsia="仿宋_GB2312"/>
          <w:sz w:val="32"/>
          <w:szCs w:val="32"/>
          <w:highlight w:val="none"/>
        </w:rPr>
        <w:t>万元。外事接待0批次，0人次（不包括陪同人员），共计支出0万元。</w:t>
      </w:r>
      <w:bookmarkEnd w:id="107"/>
    </w:p>
    <w:p>
      <w:pPr>
        <w:spacing w:line="600" w:lineRule="exact"/>
        <w:ind w:firstLine="640"/>
        <w:outlineLvl w:val="1"/>
        <w:rPr>
          <w:rStyle w:val="31"/>
          <w:rFonts w:ascii="黑体" w:hAnsi="黑体" w:eastAsia="黑体"/>
        </w:rPr>
      </w:pPr>
      <w:bookmarkStart w:id="108" w:name="_Toc8277"/>
      <w:r>
        <w:rPr>
          <w:rFonts w:hint="eastAsia" w:ascii="黑体" w:eastAsia="黑体"/>
          <w:sz w:val="32"/>
          <w:szCs w:val="32"/>
        </w:rPr>
        <w:t>八、</w:t>
      </w:r>
      <w:r>
        <w:rPr>
          <w:rStyle w:val="31"/>
          <w:rFonts w:hint="eastAsia" w:ascii="黑体" w:hAnsi="黑体" w:eastAsia="黑体"/>
          <w:b w:val="0"/>
        </w:rPr>
        <w:t>政府性基金预算支出决算情况说明</w:t>
      </w:r>
      <w:bookmarkEnd w:id="105"/>
      <w:bookmarkEnd w:id="106"/>
      <w:bookmarkEnd w:id="108"/>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1"/>
          <w:rFonts w:ascii="黑体" w:hAnsi="黑体" w:eastAsia="黑体"/>
          <w:b w:val="0"/>
        </w:rPr>
      </w:pPr>
      <w:bookmarkStart w:id="109" w:name="_Toc13013"/>
      <w:bookmarkStart w:id="110" w:name="_Toc15377219"/>
      <w:bookmarkStart w:id="111" w:name="_Toc15396611"/>
      <w:r>
        <w:rPr>
          <w:rStyle w:val="31"/>
          <w:rFonts w:hint="eastAsia" w:ascii="黑体" w:hAnsi="黑体" w:eastAsia="黑体"/>
          <w:b w:val="0"/>
        </w:rPr>
        <w:t>国有资本经营预算支出决算情况说明</w:t>
      </w:r>
      <w:bookmarkEnd w:id="109"/>
      <w:bookmarkEnd w:id="110"/>
      <w:bookmarkEnd w:id="111"/>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1"/>
          <w:rFonts w:ascii="黑体" w:hAnsi="黑体" w:eastAsia="黑体"/>
          <w:b w:val="0"/>
        </w:rPr>
      </w:pPr>
      <w:bookmarkStart w:id="112" w:name="_Toc28249"/>
      <w:bookmarkStart w:id="113" w:name="_Toc15377221"/>
      <w:bookmarkStart w:id="114" w:name="_Toc15396612"/>
      <w:r>
        <w:rPr>
          <w:rStyle w:val="31"/>
          <w:rFonts w:hint="eastAsia" w:ascii="黑体" w:hAnsi="黑体" w:eastAsia="黑体"/>
          <w:b w:val="0"/>
        </w:rPr>
        <w:t>其他重要事项的情况说明</w:t>
      </w:r>
      <w:bookmarkEnd w:id="112"/>
      <w:bookmarkEnd w:id="113"/>
      <w:bookmarkEnd w:id="114"/>
    </w:p>
    <w:p>
      <w:pPr>
        <w:spacing w:line="600" w:lineRule="exact"/>
        <w:ind w:firstLine="642" w:firstLineChars="200"/>
        <w:outlineLvl w:val="2"/>
        <w:rPr>
          <w:rFonts w:ascii="仿宋" w:hAnsi="仿宋" w:eastAsia="仿宋"/>
          <w:sz w:val="32"/>
          <w:szCs w:val="32"/>
        </w:rPr>
      </w:pPr>
      <w:bookmarkStart w:id="115" w:name="_Toc15377222"/>
      <w:r>
        <w:rPr>
          <w:rFonts w:hint="eastAsia" w:ascii="仿宋" w:hAnsi="仿宋" w:eastAsia="仿宋"/>
          <w:b/>
          <w:sz w:val="32"/>
          <w:szCs w:val="32"/>
        </w:rPr>
        <w:t>（一）机关运行经费支出情况</w:t>
      </w:r>
      <w:bookmarkEnd w:id="115"/>
    </w:p>
    <w:p>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hint="eastAsia" w:ascii="仿宋_GB2312" w:eastAsia="仿宋_GB2312"/>
          <w:sz w:val="32"/>
          <w:szCs w:val="32"/>
          <w:lang w:val="en-US" w:eastAsia="zh-CN"/>
        </w:rPr>
        <w:t>广元市农民工服务中心机关运行经费支出31.35万元，比2022年度增加4.07万元，</w:t>
      </w:r>
      <w:r>
        <w:rPr>
          <w:rFonts w:hint="eastAsia" w:ascii="仿宋_GB2312" w:eastAsia="仿宋_GB2312"/>
          <w:sz w:val="32"/>
          <w:szCs w:val="32"/>
        </w:rPr>
        <w:t>增长</w:t>
      </w: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。主要</w:t>
      </w:r>
      <w:r>
        <w:rPr>
          <w:rFonts w:hint="eastAsia" w:ascii="仿宋_GB2312" w:eastAsia="仿宋_GB2312"/>
          <w:sz w:val="32"/>
          <w:szCs w:val="32"/>
          <w:highlight w:val="none"/>
        </w:rPr>
        <w:t>原因是疫情放开，工作回到正常状态，工作量增加造成费用增加</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16" w:name="_Toc15377223"/>
      <w:r>
        <w:rPr>
          <w:rFonts w:hint="eastAsia" w:ascii="仿宋" w:hAnsi="仿宋" w:eastAsia="仿宋"/>
          <w:b/>
          <w:sz w:val="32"/>
          <w:szCs w:val="32"/>
        </w:rPr>
        <w:t>（二）政府采购支出情况</w:t>
      </w:r>
      <w:bookmarkEnd w:id="116"/>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2023年度，广元市农民工服务中心政府采购支出总额</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17" w:name="_Toc15377224"/>
      <w:r>
        <w:rPr>
          <w:rFonts w:hint="eastAsia" w:ascii="仿宋" w:hAnsi="仿宋" w:eastAsia="仿宋"/>
          <w:b/>
          <w:sz w:val="32"/>
          <w:szCs w:val="32"/>
        </w:rPr>
        <w:t>（三）国有资产占有使用情况</w:t>
      </w:r>
      <w:bookmarkEnd w:id="11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日，广元市农民工服务中心共有车辆</w:t>
      </w:r>
      <w:r>
        <w:rPr>
          <w:rFonts w:hint="eastAsia" w:ascii="仿宋_GB2312" w:eastAsia="仿宋_GB2312"/>
          <w:b/>
          <w:sz w:val="32"/>
          <w:szCs w:val="32"/>
        </w:rPr>
        <w:t>0</w:t>
      </w:r>
      <w:r>
        <w:rPr>
          <w:rFonts w:hint="eastAsia" w:ascii="仿宋_GB2312" w:eastAsia="仿宋_GB2312"/>
          <w:sz w:val="32"/>
          <w:szCs w:val="32"/>
        </w:rPr>
        <w:t>辆</w:t>
      </w:r>
      <w:bookmarkStart w:id="161" w:name="_GoBack"/>
      <w:bookmarkEnd w:id="161"/>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根据预算绩效管理要求，本单位在2023年度预算编制阶段，</w:t>
      </w:r>
      <w:r>
        <w:rPr>
          <w:rFonts w:hint="eastAsia" w:ascii="仿宋_GB2312" w:eastAsia="仿宋_GB2312"/>
          <w:sz w:val="32"/>
          <w:szCs w:val="32"/>
          <w:highlight w:val="none"/>
          <w:lang w:val="en-US" w:eastAsia="zh-CN"/>
        </w:rPr>
        <w:t>没有需要开展事前绩效评估的项目，</w:t>
      </w:r>
      <w:r>
        <w:rPr>
          <w:rFonts w:hint="eastAsia" w:ascii="仿宋_GB2312" w:eastAsia="仿宋_GB2312"/>
          <w:sz w:val="32"/>
          <w:szCs w:val="32"/>
          <w:highlight w:val="none"/>
        </w:rPr>
        <w:t>对</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个项目编制了绩效目标，预算执行过程中，选取</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个项目开展绩效监控，组织对</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个项目开展绩效自评，绩效自评表详见第四部分附件。</w:t>
      </w:r>
    </w:p>
    <w:p>
      <w:pPr>
        <w:spacing w:line="600" w:lineRule="exact"/>
        <w:ind w:firstLine="640" w:firstLineChars="200"/>
        <w:rPr>
          <w:rFonts w:ascii="仿宋_GB2312" w:eastAsia="仿宋_GB2312"/>
          <w:sz w:val="32"/>
          <w:szCs w:val="32"/>
          <w:highlight w:val="lightGray"/>
        </w:rPr>
      </w:pPr>
      <w:r>
        <w:rPr>
          <w:rFonts w:hint="eastAsia" w:ascii="仿宋_GB2312" w:eastAsia="仿宋_GB2312"/>
          <w:sz w:val="32"/>
          <w:szCs w:val="32"/>
          <w:highlight w:val="lightGray"/>
        </w:rPr>
        <w:br w:type="page"/>
      </w:r>
    </w:p>
    <w:p>
      <w:pPr>
        <w:numPr>
          <w:ilvl w:val="0"/>
          <w:numId w:val="3"/>
        </w:numPr>
        <w:spacing w:line="600" w:lineRule="exact"/>
        <w:ind w:firstLine="660" w:firstLineChars="150"/>
        <w:jc w:val="center"/>
        <w:outlineLvl w:val="0"/>
        <w:rPr>
          <w:rStyle w:val="30"/>
          <w:rFonts w:ascii="黑体" w:hAnsi="黑体" w:eastAsia="黑体"/>
          <w:b w:val="0"/>
        </w:rPr>
      </w:pPr>
      <w:bookmarkStart w:id="118" w:name="_Toc32694"/>
      <w:bookmarkStart w:id="119" w:name="_Toc15396613"/>
      <w:bookmarkStart w:id="120" w:name="_Toc15377225"/>
      <w:r>
        <w:rPr>
          <w:rFonts w:hint="eastAsia" w:ascii="黑体" w:hAnsi="黑体" w:eastAsia="黑体"/>
          <w:sz w:val="44"/>
          <w:szCs w:val="44"/>
        </w:rPr>
        <w:t>名</w:t>
      </w:r>
      <w:r>
        <w:rPr>
          <w:rStyle w:val="30"/>
          <w:rFonts w:hint="eastAsia" w:ascii="黑体" w:hAnsi="黑体" w:eastAsia="黑体"/>
          <w:b w:val="0"/>
        </w:rPr>
        <w:t>词解释</w:t>
      </w:r>
      <w:bookmarkEnd w:id="118"/>
      <w:bookmarkEnd w:id="119"/>
      <w:bookmarkEnd w:id="120"/>
    </w:p>
    <w:p>
      <w:pPr>
        <w:spacing w:line="600" w:lineRule="exact"/>
        <w:jc w:val="left"/>
        <w:rPr>
          <w:rFonts w:ascii="宋体"/>
          <w:b/>
          <w:sz w:val="44"/>
          <w:szCs w:val="44"/>
        </w:rPr>
      </w:pPr>
    </w:p>
    <w:p>
      <w:pPr>
        <w:pStyle w:val="28"/>
        <w:spacing w:line="560" w:lineRule="exact"/>
        <w:ind w:firstLine="640" w:firstLineChars="200"/>
        <w:outlineLvl w:val="1"/>
        <w:rPr>
          <w:rFonts w:hint="eastAsia" w:ascii="仿宋_GB2312" w:eastAsia="仿宋_GB2312"/>
          <w:color w:val="auto"/>
          <w:sz w:val="32"/>
          <w:szCs w:val="32"/>
          <w:highlight w:val="none"/>
        </w:rPr>
      </w:pPr>
      <w:bookmarkStart w:id="121" w:name="_Toc32393"/>
      <w:bookmarkStart w:id="122" w:name="_Toc31191"/>
      <w:bookmarkStart w:id="123" w:name="_Toc26902"/>
      <w:bookmarkStart w:id="124" w:name="_Toc12192"/>
      <w:bookmarkStart w:id="125" w:name="_Toc27392"/>
      <w:bookmarkStart w:id="126" w:name="_Toc15396614"/>
      <w:bookmarkStart w:id="127"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121"/>
      <w:bookmarkEnd w:id="122"/>
      <w:bookmarkEnd w:id="123"/>
      <w:bookmarkEnd w:id="124"/>
      <w:bookmarkEnd w:id="125"/>
    </w:p>
    <w:p>
      <w:pPr>
        <w:pStyle w:val="28"/>
        <w:spacing w:line="560" w:lineRule="exact"/>
        <w:ind w:firstLine="640" w:firstLineChars="200"/>
        <w:outlineLvl w:val="1"/>
        <w:rPr>
          <w:rFonts w:hint="eastAsia" w:ascii="仿宋_GB2312" w:eastAsia="仿宋_GB2312"/>
          <w:color w:val="auto"/>
          <w:sz w:val="32"/>
          <w:szCs w:val="32"/>
          <w:highlight w:val="none"/>
        </w:rPr>
      </w:pPr>
      <w:bookmarkStart w:id="128" w:name="_Toc22787"/>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rPr>
        <w:t>收入：</w:t>
      </w:r>
      <w:r>
        <w:rPr>
          <w:rFonts w:hint="eastAsia" w:ascii="仿宋_GB2312" w:eastAsia="仿宋_GB2312"/>
          <w:color w:val="auto"/>
          <w:sz w:val="32"/>
          <w:szCs w:val="32"/>
        </w:rPr>
        <w:t>指单位取得的除上述收入以外的各项收入。</w:t>
      </w:r>
      <w:bookmarkEnd w:id="128"/>
    </w:p>
    <w:p>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hAnsi="Calibri" w:eastAsia="仿宋_GB2312" w:cs="仿宋"/>
          <w:kern w:val="0"/>
          <w:sz w:val="32"/>
          <w:szCs w:val="32"/>
          <w:highlight w:val="none"/>
        </w:rPr>
      </w:pPr>
      <w:r>
        <w:rPr>
          <w:rFonts w:hint="eastAsia" w:ascii="仿宋_GB2312" w:eastAsia="仿宋_GB2312"/>
          <w:sz w:val="32"/>
          <w:szCs w:val="32"/>
          <w:highlight w:val="none"/>
          <w:lang w:val="en-US" w:eastAsia="zh-CN"/>
        </w:rPr>
        <w:t>5</w:t>
      </w:r>
      <w:r>
        <w:rPr>
          <w:rFonts w:ascii="仿宋_GB2312" w:eastAsia="仿宋_GB2312"/>
          <w:sz w:val="32"/>
          <w:szCs w:val="32"/>
          <w:highlight w:val="none"/>
        </w:rPr>
        <w:t>.</w:t>
      </w:r>
      <w:r>
        <w:rPr>
          <w:rFonts w:hint="eastAsia" w:ascii="仿宋_GB2312" w:hAnsi="Calibri" w:eastAsia="仿宋_GB2312" w:cs="仿宋"/>
          <w:kern w:val="0"/>
          <w:sz w:val="32"/>
          <w:szCs w:val="32"/>
          <w:highlight w:val="none"/>
        </w:rPr>
        <w:t>社会保障和就业支出（类）人力资源和社会保障管理事务（款）综合业务管理（项）：反映开展农民工服务方面工作的支出。</w:t>
      </w:r>
    </w:p>
    <w:p>
      <w:pPr>
        <w:ind w:firstLine="640" w:firstLineChars="200"/>
        <w:rPr>
          <w:rFonts w:hint="eastAsia" w:ascii="仿宋_GB2312" w:hAnsi="Calibri" w:eastAsia="仿宋_GB2312" w:cs="仿宋"/>
          <w:kern w:val="0"/>
          <w:sz w:val="32"/>
          <w:szCs w:val="32"/>
          <w:highlight w:val="none"/>
        </w:rPr>
      </w:pPr>
      <w:r>
        <w:rPr>
          <w:rFonts w:hint="eastAsia" w:ascii="仿宋_GB2312" w:eastAsia="仿宋_GB2312"/>
          <w:sz w:val="32"/>
          <w:szCs w:val="32"/>
          <w:highlight w:val="none"/>
          <w:lang w:val="en-US" w:eastAsia="zh-CN"/>
        </w:rPr>
        <w:t>6</w:t>
      </w:r>
      <w:r>
        <w:rPr>
          <w:rFonts w:ascii="仿宋_GB2312" w:eastAsia="仿宋_GB2312"/>
          <w:sz w:val="32"/>
          <w:szCs w:val="32"/>
          <w:highlight w:val="none"/>
        </w:rPr>
        <w:t>.</w:t>
      </w:r>
      <w:r>
        <w:rPr>
          <w:rFonts w:hint="eastAsia" w:ascii="仿宋_GB2312" w:hAnsi="Calibri" w:eastAsia="仿宋_GB2312" w:cs="仿宋"/>
          <w:kern w:val="0"/>
          <w:sz w:val="32"/>
          <w:szCs w:val="32"/>
          <w:highlight w:val="none"/>
        </w:rPr>
        <w:t>社会保障和就业支出（类）人力资源和社会保障管理事务（款）其他人力资源和社会保障管理事务支出（项）：反映开展农民工服务</w:t>
      </w:r>
      <w:r>
        <w:rPr>
          <w:rFonts w:ascii="仿宋_GB2312" w:hAnsi="Calibri" w:eastAsia="仿宋_GB2312" w:cs="仿宋"/>
          <w:kern w:val="0"/>
          <w:sz w:val="32"/>
          <w:szCs w:val="32"/>
          <w:highlight w:val="none"/>
        </w:rPr>
        <w:t>特定</w:t>
      </w:r>
      <w:r>
        <w:rPr>
          <w:rFonts w:hint="eastAsia" w:ascii="仿宋_GB2312" w:hAnsi="Calibri" w:eastAsia="仿宋_GB2312" w:cs="仿宋"/>
          <w:kern w:val="0"/>
          <w:sz w:val="32"/>
          <w:szCs w:val="32"/>
          <w:highlight w:val="none"/>
          <w:lang w:eastAsia="zh-CN"/>
        </w:rPr>
        <w:t>项目</w:t>
      </w:r>
      <w:r>
        <w:rPr>
          <w:rFonts w:hint="eastAsia" w:ascii="仿宋_GB2312" w:hAnsi="Calibri" w:eastAsia="仿宋_GB2312" w:cs="仿宋"/>
          <w:kern w:val="0"/>
          <w:sz w:val="32"/>
          <w:szCs w:val="32"/>
          <w:highlight w:val="none"/>
        </w:rPr>
        <w:t>工作的支出。</w:t>
      </w:r>
    </w:p>
    <w:p>
      <w:pPr>
        <w:ind w:firstLine="640" w:firstLineChars="200"/>
        <w:rPr>
          <w:rFonts w:ascii="仿宋_GB2312" w:hAnsi="Calibri" w:eastAsia="仿宋_GB2312" w:cs="仿宋"/>
          <w:kern w:val="0"/>
          <w:sz w:val="32"/>
          <w:szCs w:val="32"/>
          <w:highlight w:val="none"/>
        </w:rPr>
      </w:pPr>
      <w:r>
        <w:rPr>
          <w:rFonts w:hint="eastAsia" w:ascii="仿宋_GB2312" w:hAnsi="Calibri" w:eastAsia="仿宋_GB2312" w:cs="仿宋"/>
          <w:kern w:val="0"/>
          <w:sz w:val="32"/>
          <w:szCs w:val="32"/>
          <w:highlight w:val="none"/>
          <w:lang w:val="en-US" w:eastAsia="zh-CN"/>
        </w:rPr>
        <w:t>7</w:t>
      </w:r>
      <w:r>
        <w:rPr>
          <w:rFonts w:ascii="仿宋_GB2312" w:hAnsi="Calibri" w:eastAsia="仿宋_GB2312" w:cs="仿宋"/>
          <w:kern w:val="0"/>
          <w:sz w:val="32"/>
          <w:szCs w:val="32"/>
          <w:highlight w:val="none"/>
        </w:rPr>
        <w:t>.社会保障和就业支出（类）行政事业单位养老支出（款）机关事业单位基本养老保险缴费支出（项）：反映机关事业单位实施养老保险制度由单位缴纳的基本养老保险费支出。</w:t>
      </w:r>
    </w:p>
    <w:p>
      <w:pPr>
        <w:pStyle w:val="20"/>
      </w:pPr>
      <w:r>
        <w:rPr>
          <w:rFonts w:hint="eastAsia" w:ascii="仿宋_GB2312" w:hAnsi="Calibri" w:eastAsia="仿宋_GB2312" w:cs="仿宋"/>
          <w:kern w:val="0"/>
          <w:sz w:val="32"/>
          <w:szCs w:val="32"/>
          <w:highlight w:val="none"/>
          <w:lang w:val="en-US" w:eastAsia="zh-CN"/>
        </w:rPr>
        <w:t>8</w:t>
      </w:r>
      <w:r>
        <w:rPr>
          <w:rFonts w:ascii="仿宋_GB2312" w:hAnsi="Calibri" w:eastAsia="仿宋_GB2312" w:cs="仿宋"/>
          <w:kern w:val="0"/>
          <w:sz w:val="32"/>
          <w:szCs w:val="32"/>
          <w:highlight w:val="none"/>
        </w:rPr>
        <w:t>.社会保障和就业支出（类）行政事业单位养老支出（款）</w:t>
      </w:r>
      <w:r>
        <w:rPr>
          <w:rFonts w:hint="eastAsia" w:ascii="仿宋_GB2312" w:hAnsi="Calibri" w:eastAsia="仿宋_GB2312" w:cs="仿宋"/>
          <w:kern w:val="0"/>
          <w:sz w:val="32"/>
          <w:szCs w:val="32"/>
          <w:highlight w:val="none"/>
        </w:rPr>
        <w:t>机关事业单位职业年金缴费支出</w:t>
      </w:r>
      <w:r>
        <w:rPr>
          <w:rFonts w:ascii="仿宋_GB2312" w:hAnsi="Calibri" w:eastAsia="仿宋_GB2312" w:cs="仿宋"/>
          <w:kern w:val="0"/>
          <w:sz w:val="32"/>
          <w:szCs w:val="32"/>
          <w:highlight w:val="none"/>
        </w:rPr>
        <w:t>（项）：反映机关事业单位实施养老保险制度由单位缴纳的</w:t>
      </w:r>
      <w:r>
        <w:rPr>
          <w:rFonts w:hint="eastAsia" w:ascii="仿宋_GB2312" w:hAnsi="Calibri" w:eastAsia="仿宋_GB2312" w:cs="仿宋"/>
          <w:kern w:val="0"/>
          <w:sz w:val="32"/>
          <w:szCs w:val="32"/>
          <w:highlight w:val="none"/>
        </w:rPr>
        <w:t>职业年金缴费支出</w:t>
      </w:r>
      <w:r>
        <w:rPr>
          <w:rFonts w:ascii="仿宋_GB2312" w:hAnsi="Calibri" w:eastAsia="仿宋_GB2312" w:cs="仿宋"/>
          <w:kern w:val="0"/>
          <w:sz w:val="32"/>
          <w:szCs w:val="32"/>
          <w:highlight w:val="none"/>
        </w:rPr>
        <w:t>。</w:t>
      </w:r>
    </w:p>
    <w:p>
      <w:pPr>
        <w:ind w:firstLine="640" w:firstLineChars="200"/>
        <w:rPr>
          <w:rFonts w:ascii="仿宋_GB2312" w:hAnsi="Calibri" w:eastAsia="仿宋_GB2312" w:cs="仿宋"/>
          <w:kern w:val="0"/>
          <w:sz w:val="32"/>
          <w:szCs w:val="32"/>
          <w:highlight w:val="none"/>
        </w:rPr>
      </w:pPr>
      <w:r>
        <w:rPr>
          <w:rFonts w:hint="eastAsia" w:ascii="仿宋_GB2312" w:hAnsi="Calibri" w:eastAsia="仿宋_GB2312" w:cs="仿宋"/>
          <w:kern w:val="0"/>
          <w:sz w:val="32"/>
          <w:szCs w:val="32"/>
          <w:highlight w:val="none"/>
          <w:lang w:val="en-US" w:eastAsia="zh-CN"/>
        </w:rPr>
        <w:t>9</w:t>
      </w:r>
      <w:r>
        <w:rPr>
          <w:rFonts w:ascii="仿宋_GB2312" w:hAnsi="Calibri" w:eastAsia="仿宋_GB2312" w:cs="仿宋"/>
          <w:kern w:val="0"/>
          <w:sz w:val="32"/>
          <w:szCs w:val="32"/>
          <w:highlight w:val="none"/>
        </w:rPr>
        <w:t>.</w:t>
      </w:r>
      <w:r>
        <w:rPr>
          <w:rFonts w:hint="eastAsia" w:ascii="仿宋_GB2312" w:hAnsi="Calibri" w:eastAsia="仿宋_GB2312" w:cs="仿宋"/>
          <w:kern w:val="0"/>
          <w:sz w:val="32"/>
          <w:szCs w:val="32"/>
          <w:highlight w:val="none"/>
        </w:rPr>
        <w:t>卫生健康支出（类）行政事业单位医疗（款）行政单位医疗（项）：反映财政部门安排的行政单位（包括实行公务员管理的事业单位，下同）基本医疗保险缴费经费、未参加医疗保险的行政单位公费医疗经费，按国家规定享受离退休人员、红军老战士待遇人员的医疗经费。</w:t>
      </w:r>
    </w:p>
    <w:p>
      <w:pPr>
        <w:ind w:firstLine="640"/>
        <w:rPr>
          <w:rFonts w:ascii="仿宋_GB2312" w:hAnsi="Calibri" w:eastAsia="仿宋_GB2312" w:cs="仿宋"/>
          <w:kern w:val="0"/>
          <w:sz w:val="32"/>
          <w:szCs w:val="32"/>
          <w:highlight w:val="none"/>
        </w:rPr>
      </w:pPr>
      <w:r>
        <w:rPr>
          <w:rFonts w:hint="eastAsia" w:ascii="仿宋_GB2312" w:hAnsi="Calibri" w:eastAsia="仿宋_GB2312" w:cs="仿宋"/>
          <w:kern w:val="0"/>
          <w:sz w:val="32"/>
          <w:szCs w:val="32"/>
          <w:highlight w:val="none"/>
          <w:lang w:val="en-US" w:eastAsia="zh-CN"/>
        </w:rPr>
        <w:t>10</w:t>
      </w:r>
      <w:r>
        <w:rPr>
          <w:rFonts w:ascii="仿宋_GB2312" w:hAnsi="Calibri" w:eastAsia="仿宋_GB2312" w:cs="仿宋"/>
          <w:kern w:val="0"/>
          <w:sz w:val="32"/>
          <w:szCs w:val="32"/>
          <w:highlight w:val="none"/>
        </w:rPr>
        <w:t>.住房保障支出（类）住房改革支出（款）住房公积金（项）</w:t>
      </w:r>
      <w:r>
        <w:rPr>
          <w:rFonts w:hint="eastAsia" w:ascii="仿宋_GB2312" w:hAnsi="Calibri" w:eastAsia="仿宋_GB2312" w:cs="仿宋"/>
          <w:kern w:val="0"/>
          <w:sz w:val="32"/>
          <w:szCs w:val="32"/>
          <w:highlight w:val="none"/>
          <w:lang w:eastAsia="zh-CN"/>
        </w:rPr>
        <w:t>：</w:t>
      </w:r>
      <w:r>
        <w:rPr>
          <w:rFonts w:ascii="仿宋_GB2312" w:hAnsi="Calibri" w:eastAsia="仿宋_GB2312" w:cs="仿宋"/>
          <w:kern w:val="0"/>
          <w:sz w:val="32"/>
          <w:szCs w:val="32"/>
          <w:highlight w:val="none"/>
        </w:rPr>
        <w:t>反映行政事业单位按人力资源和社会保障部、财政部规定的基本工资和津贴补贴以及规定比例为职工缴纳的住房公积金。</w:t>
      </w:r>
    </w:p>
    <w:p>
      <w:pPr>
        <w:ind w:firstLine="640"/>
        <w:rPr>
          <w:rFonts w:ascii="仿宋_GB2312" w:hAnsi="Calibri" w:eastAsia="仿宋_GB2312" w:cs="仿宋"/>
          <w:kern w:val="0"/>
          <w:sz w:val="32"/>
          <w:szCs w:val="32"/>
          <w:highlight w:val="none"/>
        </w:rPr>
      </w:pPr>
      <w:r>
        <w:rPr>
          <w:rFonts w:hint="eastAsia" w:ascii="仿宋_GB2312" w:hAnsi="Calibri" w:eastAsia="仿宋_GB2312" w:cs="仿宋"/>
          <w:kern w:val="0"/>
          <w:sz w:val="32"/>
          <w:szCs w:val="32"/>
          <w:highlight w:val="none"/>
          <w:lang w:val="en-US" w:eastAsia="zh-CN"/>
        </w:rPr>
        <w:t>11</w:t>
      </w:r>
      <w:r>
        <w:rPr>
          <w:rFonts w:ascii="仿宋_GB2312" w:hAnsi="Calibri" w:eastAsia="仿宋_GB2312" w:cs="仿宋"/>
          <w:kern w:val="0"/>
          <w:sz w:val="32"/>
          <w:szCs w:val="32"/>
          <w:highlight w:val="none"/>
        </w:rPr>
        <w:t>.基本支出：指为保障机构正常运转、完成日常工作任务而发生的人员支出和公用支出。</w:t>
      </w:r>
    </w:p>
    <w:p>
      <w:pPr>
        <w:ind w:firstLine="640"/>
        <w:rPr>
          <w:rFonts w:ascii="仿宋_GB2312" w:hAnsi="Calibri" w:eastAsia="仿宋_GB2312" w:cs="仿宋"/>
          <w:kern w:val="0"/>
          <w:sz w:val="32"/>
          <w:szCs w:val="32"/>
          <w:highlight w:val="none"/>
        </w:rPr>
      </w:pPr>
      <w:r>
        <w:rPr>
          <w:rFonts w:ascii="仿宋_GB2312" w:hAnsi="Calibri" w:eastAsia="仿宋_GB2312" w:cs="仿宋"/>
          <w:kern w:val="0"/>
          <w:sz w:val="32"/>
          <w:szCs w:val="32"/>
          <w:highlight w:val="none"/>
        </w:rPr>
        <w:t>1</w:t>
      </w:r>
      <w:r>
        <w:rPr>
          <w:rFonts w:hint="eastAsia" w:ascii="仿宋_GB2312" w:hAnsi="Calibri" w:eastAsia="仿宋_GB2312" w:cs="仿宋"/>
          <w:kern w:val="0"/>
          <w:sz w:val="32"/>
          <w:szCs w:val="32"/>
          <w:highlight w:val="none"/>
          <w:lang w:val="en-US" w:eastAsia="zh-CN"/>
        </w:rPr>
        <w:t>2</w:t>
      </w:r>
      <w:r>
        <w:rPr>
          <w:rFonts w:ascii="仿宋_GB2312" w:hAnsi="Calibri" w:eastAsia="仿宋_GB2312" w:cs="仿宋"/>
          <w:kern w:val="0"/>
          <w:sz w:val="32"/>
          <w:szCs w:val="32"/>
          <w:highlight w:val="none"/>
        </w:rPr>
        <w:t xml:space="preserve">.项目支出：指在基本支出之外为完成特定行政任务和事业发展目标所发生的支出。 </w:t>
      </w:r>
    </w:p>
    <w:p>
      <w:pPr>
        <w:ind w:firstLine="640"/>
        <w:rPr>
          <w:rFonts w:ascii="仿宋_GB2312" w:hAnsi="Calibri" w:eastAsia="仿宋_GB2312" w:cs="仿宋"/>
          <w:kern w:val="0"/>
          <w:sz w:val="32"/>
          <w:szCs w:val="32"/>
          <w:highlight w:val="none"/>
        </w:rPr>
      </w:pPr>
      <w:r>
        <w:rPr>
          <w:rFonts w:ascii="仿宋_GB2312" w:hAnsi="Calibri" w:eastAsia="仿宋_GB2312" w:cs="仿宋"/>
          <w:kern w:val="0"/>
          <w:sz w:val="32"/>
          <w:szCs w:val="32"/>
          <w:highlight w:val="none"/>
        </w:rPr>
        <w:t>1</w:t>
      </w:r>
      <w:r>
        <w:rPr>
          <w:rFonts w:hint="eastAsia" w:ascii="仿宋_GB2312" w:hAnsi="Calibri" w:eastAsia="仿宋_GB2312" w:cs="仿宋"/>
          <w:kern w:val="0"/>
          <w:sz w:val="32"/>
          <w:szCs w:val="32"/>
          <w:highlight w:val="none"/>
          <w:lang w:val="en-US" w:eastAsia="zh-CN"/>
        </w:rPr>
        <w:t>3</w:t>
      </w:r>
      <w:r>
        <w:rPr>
          <w:rFonts w:ascii="仿宋_GB2312" w:hAnsi="Calibri" w:eastAsia="仿宋_GB2312" w:cs="仿宋"/>
          <w:kern w:val="0"/>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jc w:val="both"/>
        <w:outlineLvl w:val="0"/>
        <w:rPr>
          <w:rFonts w:hint="eastAsia" w:ascii="仿宋_GB2312" w:hAnsi="Calibri" w:eastAsia="仿宋_GB2312" w:cs="仿宋"/>
          <w:kern w:val="0"/>
          <w:sz w:val="32"/>
          <w:szCs w:val="32"/>
          <w:highlight w:val="none"/>
          <w:lang w:val="en-US" w:eastAsia="zh-CN"/>
        </w:rPr>
      </w:pPr>
      <w:bookmarkStart w:id="129" w:name="_Toc12049"/>
      <w:bookmarkStart w:id="130" w:name="_Toc14276"/>
      <w:bookmarkStart w:id="131" w:name="_Toc3096"/>
      <w:r>
        <w:rPr>
          <w:rFonts w:ascii="仿宋_GB2312" w:hAnsi="Calibri" w:eastAsia="仿宋_GB2312" w:cs="仿宋"/>
          <w:kern w:val="0"/>
          <w:sz w:val="32"/>
          <w:szCs w:val="32"/>
          <w:highlight w:val="none"/>
        </w:rPr>
        <w:t>1</w:t>
      </w:r>
      <w:r>
        <w:rPr>
          <w:rFonts w:hint="eastAsia" w:ascii="仿宋_GB2312" w:hAnsi="Calibri" w:eastAsia="仿宋_GB2312" w:cs="仿宋"/>
          <w:kern w:val="0"/>
          <w:sz w:val="32"/>
          <w:szCs w:val="32"/>
          <w:highlight w:val="none"/>
          <w:lang w:val="en-US" w:eastAsia="zh-CN"/>
        </w:rPr>
        <w:t>4</w:t>
      </w:r>
      <w:r>
        <w:rPr>
          <w:rFonts w:ascii="仿宋_GB2312" w:hAnsi="Calibri" w:eastAsia="仿宋_GB2312" w:cs="仿宋"/>
          <w:kern w:val="0"/>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Calibri" w:eastAsia="仿宋_GB2312" w:cs="仿宋"/>
          <w:kern w:val="0"/>
          <w:sz w:val="32"/>
          <w:szCs w:val="32"/>
          <w:highlight w:val="none"/>
          <w:lang w:val="en-US" w:eastAsia="zh-CN"/>
        </w:rPr>
        <w:t>.</w:t>
      </w:r>
      <w:bookmarkEnd w:id="129"/>
      <w:bookmarkEnd w:id="130"/>
      <w:bookmarkEnd w:id="131"/>
    </w:p>
    <w:p>
      <w:pPr>
        <w:rPr>
          <w:rFonts w:hint="eastAsia" w:ascii="黑体" w:hAnsi="黑体" w:eastAsia="黑体"/>
          <w:sz w:val="44"/>
          <w:szCs w:val="44"/>
        </w:rPr>
      </w:pPr>
      <w:r>
        <w:rPr>
          <w:rFonts w:hint="eastAsia" w:ascii="黑体" w:hAnsi="黑体" w:eastAsia="黑体"/>
          <w:sz w:val="44"/>
          <w:szCs w:val="44"/>
        </w:rPr>
        <w:br w:type="page"/>
      </w:r>
    </w:p>
    <w:p>
      <w:pPr>
        <w:pStyle w:val="2"/>
        <w:rPr>
          <w:rFonts w:hint="eastAsia"/>
        </w:rPr>
      </w:pPr>
    </w:p>
    <w:p>
      <w:pPr>
        <w:spacing w:line="600" w:lineRule="exact"/>
        <w:ind w:firstLine="2200" w:firstLineChars="500"/>
        <w:jc w:val="both"/>
        <w:outlineLvl w:val="9"/>
        <w:rPr>
          <w:rFonts w:hint="eastAsia" w:ascii="黑体" w:hAnsi="黑体" w:eastAsia="黑体"/>
          <w:sz w:val="44"/>
          <w:szCs w:val="44"/>
        </w:rPr>
      </w:pPr>
    </w:p>
    <w:p>
      <w:pPr>
        <w:spacing w:line="600" w:lineRule="exact"/>
        <w:ind w:firstLine="2200" w:firstLineChars="500"/>
        <w:jc w:val="both"/>
        <w:outlineLvl w:val="0"/>
        <w:rPr>
          <w:rStyle w:val="30"/>
          <w:rFonts w:hint="eastAsia" w:ascii="黑体" w:hAnsi="黑体" w:eastAsia="黑体"/>
          <w:b w:val="0"/>
        </w:rPr>
      </w:pPr>
      <w:bookmarkStart w:id="132" w:name="_Toc14292"/>
      <w:r>
        <w:rPr>
          <w:rFonts w:hint="eastAsia" w:ascii="黑体" w:hAnsi="黑体" w:eastAsia="黑体"/>
          <w:sz w:val="44"/>
          <w:szCs w:val="44"/>
        </w:rPr>
        <w:t>第</w:t>
      </w:r>
      <w:r>
        <w:rPr>
          <w:rStyle w:val="30"/>
          <w:rFonts w:hint="eastAsia" w:ascii="黑体" w:hAnsi="黑体" w:eastAsia="黑体"/>
          <w:b w:val="0"/>
        </w:rPr>
        <w:t>四部分 附件</w:t>
      </w:r>
      <w:bookmarkEnd w:id="126"/>
      <w:bookmarkEnd w:id="132"/>
    </w:p>
    <w:tbl>
      <w:tblPr>
        <w:tblStyle w:val="14"/>
        <w:tblpPr w:leftFromText="180" w:rightFromText="180" w:vertAnchor="text" w:horzAnchor="page" w:tblpX="980" w:tblpY="686"/>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132"/>
        <w:gridCol w:w="1211"/>
        <w:gridCol w:w="2021"/>
        <w:gridCol w:w="516"/>
        <w:gridCol w:w="1233"/>
        <w:gridCol w:w="396"/>
        <w:gridCol w:w="1081"/>
        <w:gridCol w:w="504"/>
        <w:gridCol w:w="486"/>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13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严格执行相关政策，保障工资及时发放、足额发放，预算编制科学合理，没有结余资金，保障了职工的正常生活。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168.09</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168.09</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没有问题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严格执行相关政策，保障工资及时发放、足额发放，预算编制科学合理，没有结余资金，保障了职工的正常生活。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严格执行相关政策，保障工资及时发放、足额发放，预算编制科学合理，没有结余资金，保障了退休人员的正常生活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xml:space="preserve">严格执行相关政策，保障退休人员生活补助及时发放、足额发放，预算编制科学合理，没有结余资金。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继续严格执行相关政策，保障工资及时发放、足额发放，预算编制科学合理.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51000021Y000000011490-日常公用经费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保障单位日常运转，提高预算编制质量，严格执行预算，公务费全年无超标现象发生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51080021T000000053260-农民工服务保障专项经费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农民工转移就业和返乡创业，开展农民工走访慰问、专列专车、技能培训、权益维护、留守关爱等服务保障，参加全省农民工竞赛活动，举办全市农民工工作会议，深入农民工务工集中地关爱慰问等，向广大农民工提供均等化公共服务和人性化关心关爱，增强农民工获得感、幸福感和安全感。</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促进农民工转移就业和返乡创业，开展农民工走访慰问、专列专车、技能培训、权益维护、留守关爱等服务保障，参加全省农民工竞赛活动，举办全市农民工工作会议，深入农民工务工集中地关爱慰问等，向广大农民工提供均等化公共服务和人性化关心关爱，增强农民工获得感、幸福感和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民工服务保障经费，是发挥农民工在外务工的主动性和积极的重要保障经费，是维护农民工在外务工的安全性的重要保障经费，2023年农民工服务保障经费发挥了重要作用，总体运行平稳，发布信息质量良好，切实发挥农民工服务服务平台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31.87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31.87</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31.87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31.87</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农民工转移就业人数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新增返乡创业人数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实现劳务收入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亿元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农民工群体满意度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市委、市政府举办农民工和在外企业家迎春慰问活动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火车站农民工服务点运行经费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4.37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印制农民工服务保障政策汇编手册、新春慰问信年历、宣传视频等资料</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杭广东西部劳务协作联席会议、互访差旅等费用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开展返乡创业回引对接、农民工走访慰问等活动4次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促进农民工转移就业和返乡创业，开展农民工走访慰问、专列专车、技能培训、权益维护、留守关爱等服务保障，参加全省农民工竞赛活动，举办全市农民工工作会议，深入农民工务工集中地关爱慰问等，向广大农民工提供均等化公共服务和人性化关心关爱，增强农民工获得感、幸福感和安全感。2022年全市农民工到达300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广元籍农民工外出务工人员众多，全市外出务工人员96万人，在各片区管理上还存在人企对接精细化不够，人岗匹配度不高，难以满足所有外出务工农民工的需要。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适当增加和保持原有经费预算，确实增加广元籍外出务工人员的幸福感.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保障单位日常运转，提高预算编制质量，严格执行预算，公务费全年无超标现象发生.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保障单位日常运转，提高预算编制质量，严格执行预算，公务费全年无超标现象发生.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保障单位日常运转，提高预算编制质量，严格执行预算，公务费全年无超标现象发生.完成非常好！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严格执行相关政策，保障工资及时发放、足额发放，预算编制科学合理，没有结余资金，保障了职工的正常生活。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继续严格执行相关政策，保障工资及时发放、足额发放，预算编制科学合理，没有结余资金，保障了职工的正常生活和日常运转。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51080022R000007489234-2022年考核奖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严格执行相关政策，保障年度考核奖及时、足额发放 ，预算编制科学合理，减少结余资金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执行相关政策好，保障年度考核奖及时、足额发放 ，预算编制科学合理，减少结余资金.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继续执行相关政策好，保障年度考核奖及时、足额发放 ，预算编制科学合理，减少结余资金.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51080023R000009698970-单位年度考核奖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严格执行相关政策，保障年度考核奖及时、足额发放 ，预算编制科学合理，减少结余资金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执行相关政策好，保障年度考核奖及时、足额发放 ，预算编制科学合理，减少结余资金.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继续执行相关政策好，保障年度考核奖及时、足额发放 ，预算编制科学合理，减少结余资金.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51080023T000008411383-驻外农民工工作站运行经费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每个工作站每年集中开展返乡创业项目推介、回引恳请、走访慰问等活动，每年共计回引返乡创业3000人以上；常态化开展就业帮扶、关心关爱和权益维护等服务保障，帮助解决实际困难问题。</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每个工作站每年集中开展返乡创业项目推介、回引恳请、走访慰问等活动，每年共计回引返乡创业3000人以上；常态化开展就业帮扶、关心关爱和权益维护等服务保障，帮助解决实际困难问题。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每个工作站每年集中开展返乡创业项目推介、回引恳请、走访慰问等活动，每年共计回引返乡创业3000人以上；常态化开展就业帮扶、关心关爱和权益维护等服务保障，帮助解决实际困难问题。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农民工转移就业人数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新增返乡创业人数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实现劳务收入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亿元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农民工群体满意度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11个工作站，开展返乡创业回引对接、关心关爱和权益维护等工作支出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充分发挥驻外农民工工作站协调服务作用，建立工作激励机制，构建就业、培训、关爱、维权“四位一体”服务机制，协同当地人社部门和务工企业，做好广元籍在外农民工服务保障，帮助解决实际困难问题。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广元籍农民工外出务工人员众多，全市外出务工人员96万人，在各片区管理上还存在人企对接精细化不够，人岗匹配度不高，难以满足所有外出务工农民工的需要。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适当增加和保持原有经费预算，确实增加广元籍外出务工人员的幸福感。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51080023T000008949296-年度考核奖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51080024R000010851755-人员其他支出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广元市农民工服务中心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0.07</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0.07</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项目负责人：甘兴伟</w:t>
            </w:r>
          </w:p>
        </w:tc>
        <w:tc>
          <w:tcPr>
            <w:tcW w:w="48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财务负责人：刘支才</w:t>
            </w:r>
          </w:p>
        </w:tc>
      </w:tr>
    </w:tbl>
    <w:p>
      <w:pPr>
        <w:pStyle w:val="13"/>
        <w:spacing w:line="560" w:lineRule="exact"/>
        <w:ind w:left="0" w:leftChars="0" w:firstLine="640"/>
        <w:rPr>
          <w:sz w:val="32"/>
          <w:highlight w:val="yellow"/>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9"/>
        <w:rPr>
          <w:rFonts w:hint="eastAsia" w:ascii="黑体" w:hAnsi="黑体" w:eastAsia="黑体"/>
          <w:sz w:val="44"/>
          <w:szCs w:val="44"/>
        </w:rPr>
      </w:pPr>
    </w:p>
    <w:p>
      <w:pPr>
        <w:pStyle w:val="20"/>
        <w:rPr>
          <w:rFonts w:hint="eastAsia" w:ascii="黑体" w:hAnsi="黑体" w:eastAsia="黑体"/>
          <w:sz w:val="44"/>
          <w:szCs w:val="44"/>
        </w:rPr>
      </w:pPr>
    </w:p>
    <w:p>
      <w:pPr>
        <w:pStyle w:val="20"/>
        <w:rPr>
          <w:rFonts w:hint="eastAsia" w:ascii="黑体" w:hAnsi="黑体" w:eastAsia="黑体"/>
          <w:sz w:val="44"/>
          <w:szCs w:val="44"/>
        </w:rPr>
      </w:pPr>
    </w:p>
    <w:p>
      <w:pPr>
        <w:pStyle w:val="20"/>
        <w:rPr>
          <w:rFonts w:hint="eastAsia" w:ascii="黑体" w:hAnsi="黑体" w:eastAsia="黑体"/>
          <w:sz w:val="44"/>
          <w:szCs w:val="44"/>
        </w:rPr>
      </w:pPr>
    </w:p>
    <w:p>
      <w:pPr>
        <w:pStyle w:val="20"/>
        <w:rPr>
          <w:rFonts w:hint="eastAsia" w:ascii="黑体" w:hAnsi="黑体" w:eastAsia="黑体"/>
          <w:sz w:val="44"/>
          <w:szCs w:val="44"/>
        </w:rPr>
      </w:pPr>
    </w:p>
    <w:p>
      <w:pPr>
        <w:spacing w:line="600" w:lineRule="exact"/>
        <w:ind w:firstLine="1760" w:firstLineChars="400"/>
        <w:jc w:val="both"/>
        <w:outlineLvl w:val="9"/>
        <w:rPr>
          <w:rFonts w:hint="eastAsia" w:ascii="黑体" w:hAnsi="黑体" w:eastAsia="黑体"/>
          <w:sz w:val="44"/>
          <w:szCs w:val="44"/>
        </w:rPr>
      </w:pPr>
    </w:p>
    <w:p>
      <w:pPr>
        <w:spacing w:line="600" w:lineRule="exact"/>
        <w:ind w:firstLine="1760" w:firstLineChars="400"/>
        <w:jc w:val="both"/>
        <w:outlineLvl w:val="9"/>
        <w:rPr>
          <w:rFonts w:hint="eastAsia" w:ascii="黑体" w:hAnsi="黑体" w:eastAsia="黑体"/>
          <w:sz w:val="44"/>
          <w:szCs w:val="44"/>
        </w:rPr>
      </w:pPr>
    </w:p>
    <w:p>
      <w:pPr>
        <w:spacing w:line="600" w:lineRule="exact"/>
        <w:ind w:firstLine="1760" w:firstLineChars="400"/>
        <w:jc w:val="both"/>
        <w:outlineLvl w:val="9"/>
        <w:rPr>
          <w:rFonts w:hint="eastAsia" w:ascii="黑体" w:hAnsi="黑体" w:eastAsia="黑体"/>
          <w:sz w:val="44"/>
          <w:szCs w:val="44"/>
        </w:rPr>
      </w:pPr>
    </w:p>
    <w:p>
      <w:pPr>
        <w:spacing w:line="600" w:lineRule="exact"/>
        <w:ind w:firstLine="1760" w:firstLineChars="400"/>
        <w:jc w:val="both"/>
        <w:outlineLvl w:val="9"/>
        <w:rPr>
          <w:rFonts w:hint="eastAsia" w:ascii="黑体" w:hAnsi="黑体" w:eastAsia="黑体"/>
          <w:sz w:val="44"/>
          <w:szCs w:val="44"/>
        </w:rPr>
      </w:pPr>
    </w:p>
    <w:p>
      <w:pPr>
        <w:spacing w:line="600" w:lineRule="exact"/>
        <w:ind w:firstLine="2200" w:firstLineChars="500"/>
        <w:jc w:val="both"/>
        <w:outlineLvl w:val="0"/>
        <w:rPr>
          <w:rFonts w:ascii="仿宋" w:hAnsi="仿宋" w:eastAsia="仿宋"/>
        </w:rPr>
      </w:pPr>
      <w:bookmarkStart w:id="134" w:name="_Toc10968"/>
      <w:r>
        <w:rPr>
          <w:rFonts w:hint="eastAsia" w:ascii="黑体" w:hAnsi="黑体" w:eastAsia="黑体"/>
          <w:sz w:val="44"/>
          <w:szCs w:val="44"/>
        </w:rPr>
        <w:t>第</w:t>
      </w:r>
      <w:r>
        <w:rPr>
          <w:rStyle w:val="30"/>
          <w:rFonts w:hint="eastAsia" w:ascii="黑体" w:hAnsi="黑体" w:eastAsia="黑体"/>
          <w:b w:val="0"/>
        </w:rPr>
        <w:t>五部分 附表</w:t>
      </w:r>
      <w:bookmarkEnd w:id="127"/>
      <w:bookmarkEnd w:id="133"/>
      <w:bookmarkEnd w:id="134"/>
      <w:bookmarkStart w:id="135" w:name="_Toc15396619"/>
    </w:p>
    <w:p>
      <w:pPr>
        <w:pStyle w:val="4"/>
        <w:rPr>
          <w:rFonts w:ascii="仿宋" w:hAnsi="仿宋" w:eastAsia="仿宋"/>
        </w:rPr>
      </w:pPr>
      <w:bookmarkStart w:id="136" w:name="_Toc24482"/>
      <w:r>
        <w:rPr>
          <w:rFonts w:hint="eastAsia" w:ascii="仿宋" w:hAnsi="仿宋" w:eastAsia="仿宋"/>
          <w:b w:val="0"/>
        </w:rPr>
        <w:t>一、收</w:t>
      </w:r>
      <w:r>
        <w:rPr>
          <w:rStyle w:val="31"/>
          <w:rFonts w:hint="eastAsia" w:ascii="仿宋" w:hAnsi="仿宋" w:eastAsia="仿宋"/>
          <w:b w:val="0"/>
          <w:bCs w:val="0"/>
        </w:rPr>
        <w:t>入支出决算总表</w:t>
      </w:r>
      <w:bookmarkEnd w:id="135"/>
      <w:bookmarkEnd w:id="136"/>
    </w:p>
    <w:p>
      <w:pPr>
        <w:pStyle w:val="4"/>
        <w:rPr>
          <w:rFonts w:ascii="仿宋" w:hAnsi="仿宋" w:eastAsia="仿宋"/>
        </w:rPr>
      </w:pPr>
      <w:bookmarkStart w:id="137" w:name="_Toc15396620"/>
      <w:bookmarkStart w:id="138" w:name="_Toc8561"/>
      <w:r>
        <w:rPr>
          <w:rFonts w:hint="eastAsia" w:ascii="仿宋" w:hAnsi="仿宋" w:eastAsia="仿宋"/>
          <w:b w:val="0"/>
        </w:rPr>
        <w:t>二、收</w:t>
      </w:r>
      <w:r>
        <w:rPr>
          <w:rStyle w:val="31"/>
          <w:rFonts w:hint="eastAsia" w:ascii="仿宋" w:hAnsi="仿宋" w:eastAsia="仿宋"/>
          <w:b w:val="0"/>
          <w:bCs w:val="0"/>
        </w:rPr>
        <w:t>入决算表</w:t>
      </w:r>
      <w:bookmarkEnd w:id="137"/>
      <w:bookmarkEnd w:id="138"/>
    </w:p>
    <w:p>
      <w:pPr>
        <w:pStyle w:val="4"/>
        <w:rPr>
          <w:rFonts w:ascii="仿宋" w:hAnsi="仿宋" w:eastAsia="仿宋"/>
        </w:rPr>
      </w:pPr>
      <w:bookmarkStart w:id="139" w:name="_Toc15396621"/>
      <w:bookmarkStart w:id="140" w:name="_Toc24177"/>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139"/>
      <w:bookmarkEnd w:id="140"/>
    </w:p>
    <w:p>
      <w:pPr>
        <w:pStyle w:val="4"/>
        <w:rPr>
          <w:rFonts w:ascii="仿宋" w:hAnsi="仿宋" w:eastAsia="仿宋"/>
          <w:b w:val="0"/>
        </w:rPr>
      </w:pPr>
      <w:bookmarkStart w:id="141" w:name="_Toc30557"/>
      <w:bookmarkStart w:id="142"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141"/>
      <w:bookmarkEnd w:id="142"/>
    </w:p>
    <w:p>
      <w:pPr>
        <w:pStyle w:val="4"/>
        <w:rPr>
          <w:rStyle w:val="31"/>
          <w:rFonts w:ascii="仿宋" w:hAnsi="仿宋" w:eastAsia="仿宋"/>
          <w:b w:val="0"/>
          <w:bCs w:val="0"/>
        </w:rPr>
      </w:pPr>
      <w:bookmarkStart w:id="143" w:name="_Toc30533"/>
      <w:bookmarkStart w:id="144"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143"/>
      <w:bookmarkEnd w:id="144"/>
      <w:bookmarkStart w:id="145" w:name="_Toc15396624"/>
    </w:p>
    <w:p>
      <w:pPr>
        <w:pStyle w:val="4"/>
        <w:rPr>
          <w:rFonts w:ascii="仿宋" w:hAnsi="仿宋" w:eastAsia="仿宋"/>
        </w:rPr>
      </w:pPr>
      <w:bookmarkStart w:id="146" w:name="_Toc10295"/>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145"/>
      <w:bookmarkEnd w:id="146"/>
    </w:p>
    <w:p>
      <w:pPr>
        <w:pStyle w:val="4"/>
        <w:rPr>
          <w:rFonts w:ascii="仿宋" w:hAnsi="仿宋" w:eastAsia="仿宋"/>
        </w:rPr>
      </w:pPr>
      <w:bookmarkStart w:id="147" w:name="_Toc15396625"/>
      <w:bookmarkStart w:id="148" w:name="_Toc4433"/>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147"/>
      <w:bookmarkEnd w:id="148"/>
    </w:p>
    <w:p>
      <w:pPr>
        <w:pStyle w:val="4"/>
        <w:rPr>
          <w:rFonts w:ascii="仿宋" w:hAnsi="仿宋" w:eastAsia="仿宋"/>
        </w:rPr>
      </w:pPr>
      <w:bookmarkStart w:id="149" w:name="_Toc30818"/>
      <w:bookmarkStart w:id="150"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49"/>
      <w:bookmarkEnd w:id="150"/>
    </w:p>
    <w:p>
      <w:pPr>
        <w:pStyle w:val="4"/>
        <w:rPr>
          <w:rFonts w:ascii="仿宋" w:hAnsi="仿宋" w:eastAsia="仿宋"/>
        </w:rPr>
      </w:pPr>
      <w:bookmarkStart w:id="151" w:name="_Toc15396627"/>
      <w:bookmarkStart w:id="152" w:name="_Toc22909"/>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51"/>
      <w:bookmarkEnd w:id="152"/>
    </w:p>
    <w:p>
      <w:pPr>
        <w:pStyle w:val="4"/>
        <w:rPr>
          <w:rFonts w:ascii="仿宋" w:hAnsi="仿宋" w:eastAsia="仿宋"/>
        </w:rPr>
      </w:pPr>
      <w:bookmarkStart w:id="153" w:name="_Toc15396628"/>
      <w:bookmarkStart w:id="154" w:name="_Toc15090"/>
      <w:r>
        <w:rPr>
          <w:rStyle w:val="31"/>
          <w:rFonts w:hint="eastAsia" w:ascii="仿宋" w:hAnsi="仿宋" w:eastAsia="仿宋"/>
          <w:b w:val="0"/>
          <w:bCs w:val="0"/>
        </w:rPr>
        <w:t>十、</w:t>
      </w:r>
      <w:bookmarkEnd w:id="153"/>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54"/>
    </w:p>
    <w:p>
      <w:pPr>
        <w:pStyle w:val="4"/>
        <w:rPr>
          <w:rFonts w:ascii="仿宋" w:hAnsi="仿宋" w:eastAsia="仿宋"/>
        </w:rPr>
      </w:pPr>
      <w:bookmarkStart w:id="155" w:name="_Toc15396629"/>
      <w:bookmarkStart w:id="156" w:name="_Toc28981"/>
      <w:r>
        <w:rPr>
          <w:rStyle w:val="31"/>
          <w:rFonts w:hint="eastAsia" w:ascii="仿宋" w:hAnsi="仿宋" w:eastAsia="仿宋"/>
          <w:b w:val="0"/>
          <w:bCs w:val="0"/>
        </w:rPr>
        <w:t>十一、</w:t>
      </w:r>
      <w:bookmarkEnd w:id="155"/>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56"/>
    </w:p>
    <w:p>
      <w:pPr>
        <w:pStyle w:val="4"/>
        <w:rPr>
          <w:rFonts w:ascii="仿宋" w:hAnsi="仿宋" w:eastAsia="仿宋"/>
        </w:rPr>
      </w:pPr>
      <w:bookmarkStart w:id="157" w:name="_Toc15396630"/>
      <w:bookmarkStart w:id="158" w:name="_Toc17341"/>
      <w:r>
        <w:rPr>
          <w:rStyle w:val="31"/>
          <w:rFonts w:hint="eastAsia" w:ascii="仿宋" w:hAnsi="仿宋" w:eastAsia="仿宋"/>
          <w:b w:val="0"/>
          <w:bCs w:val="0"/>
        </w:rPr>
        <w:t>十二、</w:t>
      </w:r>
      <w:bookmarkEnd w:id="157"/>
      <w:r>
        <w:rPr>
          <w:rStyle w:val="31"/>
          <w:rFonts w:hint="eastAsia" w:ascii="仿宋" w:hAnsi="仿宋" w:eastAsia="仿宋"/>
          <w:b w:val="0"/>
          <w:bCs w:val="0"/>
        </w:rPr>
        <w:t>国有资本经营预算财政拨款支出决算表</w:t>
      </w:r>
      <w:bookmarkEnd w:id="158"/>
    </w:p>
    <w:p>
      <w:pPr>
        <w:pStyle w:val="4"/>
        <w:rPr>
          <w:rFonts w:eastAsia="仿宋"/>
        </w:rPr>
      </w:pPr>
      <w:bookmarkStart w:id="159" w:name="_Toc15396631"/>
      <w:bookmarkStart w:id="160" w:name="_Toc7328"/>
      <w:r>
        <w:rPr>
          <w:rStyle w:val="31"/>
          <w:rFonts w:hint="eastAsia" w:ascii="仿宋" w:hAnsi="仿宋" w:eastAsia="仿宋"/>
          <w:b w:val="0"/>
          <w:bCs w:val="0"/>
        </w:rPr>
        <w:t>十三、</w:t>
      </w:r>
      <w:bookmarkEnd w:id="159"/>
      <w:r>
        <w:rPr>
          <w:rStyle w:val="31"/>
          <w:rFonts w:hint="eastAsia" w:ascii="仿宋" w:hAnsi="仿宋" w:eastAsia="仿宋"/>
          <w:b w:val="0"/>
          <w:bCs w:val="0"/>
        </w:rPr>
        <w:t>财政拨款“三公”经费支出决算表</w:t>
      </w:r>
      <w:bookmarkEnd w:id="160"/>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89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2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4747089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20"/>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20"/>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D138C"/>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8523E"/>
    <w:rsid w:val="037150A7"/>
    <w:rsid w:val="03DC2831"/>
    <w:rsid w:val="04E03682"/>
    <w:rsid w:val="081B5E94"/>
    <w:rsid w:val="08B05C3F"/>
    <w:rsid w:val="090F0197"/>
    <w:rsid w:val="0A2032A3"/>
    <w:rsid w:val="0B1B7594"/>
    <w:rsid w:val="0B42589C"/>
    <w:rsid w:val="0B8A37D8"/>
    <w:rsid w:val="0BBF2615"/>
    <w:rsid w:val="0DEF5ADF"/>
    <w:rsid w:val="0E7C112B"/>
    <w:rsid w:val="0E953576"/>
    <w:rsid w:val="0F5FFB2F"/>
    <w:rsid w:val="0FAF08F2"/>
    <w:rsid w:val="0FFFCF60"/>
    <w:rsid w:val="10C055FF"/>
    <w:rsid w:val="118107EC"/>
    <w:rsid w:val="11DD6519"/>
    <w:rsid w:val="1395583F"/>
    <w:rsid w:val="16BB723D"/>
    <w:rsid w:val="177B7D38"/>
    <w:rsid w:val="18015F3F"/>
    <w:rsid w:val="19960E59"/>
    <w:rsid w:val="1BE8440E"/>
    <w:rsid w:val="1CE471BB"/>
    <w:rsid w:val="1D155CEE"/>
    <w:rsid w:val="1DC53883"/>
    <w:rsid w:val="1FDBBF84"/>
    <w:rsid w:val="20F57F95"/>
    <w:rsid w:val="23952182"/>
    <w:rsid w:val="240371BF"/>
    <w:rsid w:val="244B0A92"/>
    <w:rsid w:val="24896F9C"/>
    <w:rsid w:val="24B76D4E"/>
    <w:rsid w:val="250E578A"/>
    <w:rsid w:val="255B51F0"/>
    <w:rsid w:val="25711CC6"/>
    <w:rsid w:val="25C741E6"/>
    <w:rsid w:val="26FC6074"/>
    <w:rsid w:val="276F80C0"/>
    <w:rsid w:val="27842671"/>
    <w:rsid w:val="29243D5C"/>
    <w:rsid w:val="29FD04D3"/>
    <w:rsid w:val="2ABE7A3E"/>
    <w:rsid w:val="2AFF09B6"/>
    <w:rsid w:val="2B182DA1"/>
    <w:rsid w:val="2CA234A8"/>
    <w:rsid w:val="2CD21D51"/>
    <w:rsid w:val="2D29537F"/>
    <w:rsid w:val="2EFA178C"/>
    <w:rsid w:val="2EFDF86C"/>
    <w:rsid w:val="2F9D17E1"/>
    <w:rsid w:val="30B46D73"/>
    <w:rsid w:val="319F7F4E"/>
    <w:rsid w:val="32364B30"/>
    <w:rsid w:val="32540D14"/>
    <w:rsid w:val="326E7E26"/>
    <w:rsid w:val="346402D5"/>
    <w:rsid w:val="356A28F1"/>
    <w:rsid w:val="357C035A"/>
    <w:rsid w:val="368E000D"/>
    <w:rsid w:val="369668BE"/>
    <w:rsid w:val="383D272C"/>
    <w:rsid w:val="39AE70AB"/>
    <w:rsid w:val="3A4DCE41"/>
    <w:rsid w:val="3A652597"/>
    <w:rsid w:val="3BCB56FA"/>
    <w:rsid w:val="3C0C0783"/>
    <w:rsid w:val="3C5F4C83"/>
    <w:rsid w:val="3EE7C2F4"/>
    <w:rsid w:val="3F371B56"/>
    <w:rsid w:val="3F792ED8"/>
    <w:rsid w:val="3F9F3A96"/>
    <w:rsid w:val="3FECA4B2"/>
    <w:rsid w:val="3FF58C48"/>
    <w:rsid w:val="42FF6694"/>
    <w:rsid w:val="44AD5628"/>
    <w:rsid w:val="450665E4"/>
    <w:rsid w:val="48BF60AB"/>
    <w:rsid w:val="48FF75D2"/>
    <w:rsid w:val="493C27E9"/>
    <w:rsid w:val="496F39ED"/>
    <w:rsid w:val="49FF41D3"/>
    <w:rsid w:val="4BE068DB"/>
    <w:rsid w:val="4BF6002B"/>
    <w:rsid w:val="4BFFC6BE"/>
    <w:rsid w:val="4C7163EA"/>
    <w:rsid w:val="4E12250E"/>
    <w:rsid w:val="4ECE2238"/>
    <w:rsid w:val="51DB4B86"/>
    <w:rsid w:val="51F64DB0"/>
    <w:rsid w:val="52725202"/>
    <w:rsid w:val="52CB6777"/>
    <w:rsid w:val="55333C3E"/>
    <w:rsid w:val="58D07DF4"/>
    <w:rsid w:val="5960230F"/>
    <w:rsid w:val="5B976A36"/>
    <w:rsid w:val="5CD245B1"/>
    <w:rsid w:val="5F67802D"/>
    <w:rsid w:val="5F7DC4F2"/>
    <w:rsid w:val="5FB36814"/>
    <w:rsid w:val="5FBB8E56"/>
    <w:rsid w:val="5FFB5535"/>
    <w:rsid w:val="610619ED"/>
    <w:rsid w:val="61FB06BE"/>
    <w:rsid w:val="6419480E"/>
    <w:rsid w:val="64CA39A1"/>
    <w:rsid w:val="69630ADE"/>
    <w:rsid w:val="69BD5F13"/>
    <w:rsid w:val="69FB0B4B"/>
    <w:rsid w:val="6BFFE1FB"/>
    <w:rsid w:val="6C4A05C8"/>
    <w:rsid w:val="6D3B1A89"/>
    <w:rsid w:val="6D7D1869"/>
    <w:rsid w:val="6DB7D8A3"/>
    <w:rsid w:val="6EC78701"/>
    <w:rsid w:val="6F7A5481"/>
    <w:rsid w:val="6FFE07A9"/>
    <w:rsid w:val="71BF4EC2"/>
    <w:rsid w:val="72734D90"/>
    <w:rsid w:val="73E75B71"/>
    <w:rsid w:val="7412278C"/>
    <w:rsid w:val="74546797"/>
    <w:rsid w:val="757E794D"/>
    <w:rsid w:val="75DDCDA9"/>
    <w:rsid w:val="75FF44B1"/>
    <w:rsid w:val="77670518"/>
    <w:rsid w:val="777FA627"/>
    <w:rsid w:val="77DF1B5F"/>
    <w:rsid w:val="77EF2D9D"/>
    <w:rsid w:val="790E0FE8"/>
    <w:rsid w:val="79E7B28D"/>
    <w:rsid w:val="7ACFF0C2"/>
    <w:rsid w:val="7AFB9108"/>
    <w:rsid w:val="7B4C377D"/>
    <w:rsid w:val="7BD5340C"/>
    <w:rsid w:val="7BFB19D2"/>
    <w:rsid w:val="7BFD1750"/>
    <w:rsid w:val="7BFDAA1B"/>
    <w:rsid w:val="7CCD2F68"/>
    <w:rsid w:val="7CDF9A82"/>
    <w:rsid w:val="7CFFA1BD"/>
    <w:rsid w:val="7D2E3F7A"/>
    <w:rsid w:val="7DED9490"/>
    <w:rsid w:val="7DFF4872"/>
    <w:rsid w:val="7E7487E6"/>
    <w:rsid w:val="7E7C2A54"/>
    <w:rsid w:val="7EEEFD72"/>
    <w:rsid w:val="7F1D517C"/>
    <w:rsid w:val="7F204924"/>
    <w:rsid w:val="7F5DA057"/>
    <w:rsid w:val="7F6C2237"/>
    <w:rsid w:val="7F7F319B"/>
    <w:rsid w:val="7F9F20EE"/>
    <w:rsid w:val="7FA97B46"/>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75FE19"/>
    <w:rsid w:val="EBCF1FC2"/>
    <w:rsid w:val="EBD18F66"/>
    <w:rsid w:val="ED17392C"/>
    <w:rsid w:val="ED9FFD9A"/>
    <w:rsid w:val="EDB7968B"/>
    <w:rsid w:val="EEF73F60"/>
    <w:rsid w:val="EFEC1A64"/>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3"/>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1 Char"/>
    <w:basedOn w:val="15"/>
    <w:link w:val="3"/>
    <w:qFormat/>
    <w:uiPriority w:val="9"/>
    <w:rPr>
      <w:rFonts w:ascii="Times New Roman" w:hAnsi="Times New Roman"/>
      <w:b/>
      <w:bCs/>
      <w:kern w:val="44"/>
      <w:sz w:val="44"/>
      <w:szCs w:val="44"/>
    </w:rPr>
  </w:style>
  <w:style w:type="character" w:customStyle="1" w:styleId="19">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0">
    <w:name w:val="常用样式（方正仿宋简）"/>
    <w:basedOn w:val="1"/>
    <w:qFormat/>
    <w:uiPriority w:val="0"/>
    <w:pPr>
      <w:spacing w:line="560" w:lineRule="exact"/>
      <w:ind w:firstLine="200" w:firstLineChars="200"/>
    </w:pPr>
    <w:rPr>
      <w:rFonts w:eastAsia="方正仿宋简体"/>
      <w:sz w:val="32"/>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5"/>
    <w:semiHidden/>
    <w:qFormat/>
    <w:uiPriority w:val="99"/>
    <w:rPr>
      <w:rFonts w:ascii="Times New Roman" w:hAnsi="Times New Roman"/>
      <w:sz w:val="18"/>
      <w:szCs w:val="18"/>
    </w:rPr>
  </w:style>
  <w:style w:type="character" w:customStyle="1" w:styleId="23">
    <w:name w:val="页眉 字符"/>
    <w:link w:val="10"/>
    <w:semiHidden/>
    <w:qFormat/>
    <w:locked/>
    <w:uiPriority w:val="99"/>
    <w:rPr>
      <w:sz w:val="18"/>
    </w:rPr>
  </w:style>
  <w:style w:type="character" w:customStyle="1" w:styleId="24">
    <w:name w:val="Footer Char"/>
    <w:basedOn w:val="15"/>
    <w:semiHidden/>
    <w:qFormat/>
    <w:uiPriority w:val="99"/>
    <w:rPr>
      <w:rFonts w:ascii="Times New Roman" w:hAnsi="Times New Roman"/>
      <w:sz w:val="18"/>
      <w:szCs w:val="18"/>
    </w:rPr>
  </w:style>
  <w:style w:type="character" w:customStyle="1" w:styleId="25">
    <w:name w:val="页脚 字符"/>
    <w:link w:val="9"/>
    <w:qFormat/>
    <w:locked/>
    <w:uiPriority w:val="99"/>
    <w:rPr>
      <w:sz w:val="18"/>
    </w:rPr>
  </w:style>
  <w:style w:type="character" w:customStyle="1" w:styleId="26">
    <w:name w:val="Body Text Char"/>
    <w:basedOn w:val="15"/>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5"/>
    <w:link w:val="3"/>
    <w:qFormat/>
    <w:uiPriority w:val="9"/>
    <w:rPr>
      <w:rFonts w:ascii="Times New Roman" w:hAnsi="Times New Roman"/>
      <w:b/>
      <w:bCs/>
      <w:kern w:val="44"/>
      <w:sz w:val="44"/>
      <w:szCs w:val="44"/>
    </w:rPr>
  </w:style>
  <w:style w:type="character" w:customStyle="1" w:styleId="31">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5"/>
    <w:link w:val="8"/>
    <w:semiHidden/>
    <w:qFormat/>
    <w:uiPriority w:val="99"/>
    <w:rPr>
      <w:rFonts w:ascii="Times New Roman" w:hAnsi="Times New Roman"/>
      <w:kern w:val="2"/>
      <w:sz w:val="18"/>
      <w:szCs w:val="18"/>
    </w:rPr>
  </w:style>
  <w:style w:type="character" w:customStyle="1" w:styleId="34">
    <w:name w:val="标题 3 字符"/>
    <w:basedOn w:val="15"/>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15:layout>
                    <c:manualLayout>
                      <c:w val="0.173659248449471"/>
                      <c:h val="0.101312689330192"/>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errBars>
            <c:errBarType val="both"/>
            <c:errValType val="stdErr"/>
            <c:noEndCap val="false"/>
            <c:spPr>
              <a:noFill/>
              <a:ln w="9525" cap="flat" cmpd="sng" algn="ctr">
                <a:solidFill>
                  <a:schemeClr val="tx1">
                    <a:lumMod val="65000"/>
                    <a:lumOff val="35000"/>
                  </a:schemeClr>
                </a:solidFill>
                <a:round/>
              </a:ln>
              <a:effectLst/>
            </c:spPr>
          </c:errBars>
          <c:cat>
            <c:strRef>
              <c:f>Sheet1!$A$2:$A$3</c:f>
              <c:strCache>
                <c:ptCount val="2"/>
                <c:pt idx="0">
                  <c:v>2022年</c:v>
                </c:pt>
                <c:pt idx="1">
                  <c:v>2023年</c:v>
                </c:pt>
              </c:strCache>
            </c:strRef>
          </c:cat>
          <c:val>
            <c:numRef>
              <c:f>Sheet1!$B$2:$B$3</c:f>
              <c:numCache>
                <c:formatCode>General</c:formatCode>
                <c:ptCount val="2"/>
                <c:pt idx="0">
                  <c:v>340.16</c:v>
                </c:pt>
                <c:pt idx="1">
                  <c:v>307.23</c:v>
                </c:pt>
              </c:numCache>
            </c:numRef>
          </c:val>
        </c:ser>
        <c:dLbls>
          <c:showLegendKey val="false"/>
          <c:showVal val="true"/>
          <c:showCatName val="false"/>
          <c:showSerName val="false"/>
          <c:showPercent val="false"/>
          <c:showBubbleSize val="false"/>
        </c:dLbls>
        <c:gapWidth val="219"/>
        <c:overlap val="-27"/>
        <c:axId val="825026533"/>
        <c:axId val="98980640"/>
      </c:barChart>
      <c:catAx>
        <c:axId val="82502653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980640"/>
        <c:crosses val="autoZero"/>
        <c:auto val="true"/>
        <c:lblAlgn val="ctr"/>
        <c:lblOffset val="100"/>
        <c:noMultiLvlLbl val="false"/>
      </c:catAx>
      <c:valAx>
        <c:axId val="9898064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5026533"/>
        <c:crosses val="autoZero"/>
        <c:crossBetween val="between"/>
      </c:valAx>
      <c:spPr>
        <a:noFill/>
        <a:ln>
          <a:noFill/>
        </a:ln>
        <a:effectLst/>
      </c:spPr>
    </c:plotArea>
    <c:plotVisOnly val="true"/>
    <c:dispBlanksAs val="gap"/>
    <c:showDLblsOverMax val="false"/>
  </c:chart>
  <c:spPr>
    <a:no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1"/>
              <c:layout>
                <c:manualLayout>
                  <c:x val="-0.166865871679445"/>
                  <c:y val="0.033912971384619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一般公共预算财政拨款收入275.53万元</c:v>
                </c:pt>
                <c:pt idx="1">
                  <c:v>其他收入19.8万元</c:v>
                </c:pt>
              </c:strCache>
            </c:strRef>
          </c:cat>
          <c:val>
            <c:numRef>
              <c:f>Sheet1!$B$2:$B$3</c:f>
              <c:numCache>
                <c:formatCode>General</c:formatCode>
                <c:ptCount val="2"/>
                <c:pt idx="0">
                  <c:v>275.53</c:v>
                </c:pt>
                <c:pt idx="1">
                  <c:v>19.8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4575"/>
          <c:y val="0.924166666666667"/>
          <c:w val="0.750125"/>
          <c:h val="0.055833333333333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39862634145009"/>
                  <c:y val="-0.079217086788940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4649761852505"/>
                  <c:y val="0.11944794746280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34076204169662"/>
                      <c:h val="0.138297872340426"/>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基本支出242.74万元</c:v>
                </c:pt>
                <c:pt idx="1">
                  <c:v>项目支出54.09万元</c:v>
                </c:pt>
              </c:strCache>
            </c:strRef>
          </c:cat>
          <c:val>
            <c:numRef>
              <c:f>Sheet1!$B$2:$B$3</c:f>
              <c:numCache>
                <c:formatCode>General</c:formatCode>
                <c:ptCount val="2"/>
                <c:pt idx="0">
                  <c:v>242.74</c:v>
                </c:pt>
                <c:pt idx="1">
                  <c:v>54.09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275125"/>
          <c:y val="0.883928571428571"/>
          <c:w val="0.548"/>
          <c:h val="0.085459183673469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Lbl>
              <c:idx val="0"/>
              <c:layout>
                <c:manualLayout>
                  <c:x val="0"/>
                  <c:y val="-0.059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375"/>
                  <c:y val="-0.051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errBars>
            <c:errBarType val="both"/>
            <c:errValType val="stdErr"/>
            <c:noEndCap val="false"/>
            <c:spPr>
              <a:noFill/>
              <a:ln w="9525" cap="flat" cmpd="sng" algn="ctr">
                <a:solidFill>
                  <a:schemeClr val="tx1">
                    <a:lumMod val="65000"/>
                    <a:lumOff val="35000"/>
                  </a:schemeClr>
                </a:solidFill>
                <a:round/>
              </a:ln>
              <a:effectLst/>
            </c:spPr>
          </c:errBars>
          <c:cat>
            <c:strRef>
              <c:f>Sheet1!$A$2:$A$3</c:f>
              <c:strCache>
                <c:ptCount val="2"/>
                <c:pt idx="0">
                  <c:v>2022年</c:v>
                </c:pt>
                <c:pt idx="1">
                  <c:v>2023年</c:v>
                </c:pt>
              </c:strCache>
            </c:strRef>
          </c:cat>
          <c:val>
            <c:numRef>
              <c:f>Sheet1!$B$2:$B$3</c:f>
              <c:numCache>
                <c:formatCode>General</c:formatCode>
                <c:ptCount val="2"/>
                <c:pt idx="0">
                  <c:v>340.16</c:v>
                </c:pt>
                <c:pt idx="1">
                  <c:v>287.43</c:v>
                </c:pt>
              </c:numCache>
            </c:numRef>
          </c:val>
        </c:ser>
        <c:dLbls>
          <c:showLegendKey val="false"/>
          <c:showVal val="true"/>
          <c:showCatName val="false"/>
          <c:showSerName val="false"/>
          <c:showPercent val="false"/>
          <c:showBubbleSize val="false"/>
        </c:dLbls>
        <c:gapWidth val="219"/>
        <c:overlap val="-27"/>
        <c:axId val="768463387"/>
        <c:axId val="401771549"/>
      </c:barChart>
      <c:catAx>
        <c:axId val="76846338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1771549"/>
        <c:crosses val="autoZero"/>
        <c:auto val="true"/>
        <c:lblAlgn val="ctr"/>
        <c:lblOffset val="100"/>
        <c:noMultiLvlLbl val="false"/>
      </c:catAx>
      <c:valAx>
        <c:axId val="40177154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6846338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Lbl>
              <c:idx val="0"/>
              <c:layout>
                <c:manualLayout>
                  <c:x val="0"/>
                  <c:y val="-0.03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manualLayout>
                      <c:w val="0.0775"/>
                      <c:h val="0.0801666666666667"/>
                    </c:manualLayout>
                  </c15:layout>
                </c:ext>
              </c:extLst>
            </c:dLbl>
            <c:dLbl>
              <c:idx val="1"/>
              <c:layout>
                <c:manualLayout>
                  <c:x val="0"/>
                  <c:y val="-0.061833333333333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errBars>
            <c:errBarType val="both"/>
            <c:errValType val="stdErr"/>
            <c:noEndCap val="false"/>
            <c:spPr>
              <a:noFill/>
              <a:ln w="9525" cap="flat" cmpd="sng" algn="ctr">
                <a:solidFill>
                  <a:schemeClr val="tx1">
                    <a:lumMod val="65000"/>
                    <a:lumOff val="35000"/>
                  </a:schemeClr>
                </a:solidFill>
                <a:round/>
              </a:ln>
              <a:effectLst/>
            </c:spPr>
          </c:errBars>
          <c:cat>
            <c:strRef>
              <c:f>Sheet1!$A$2:$A$3</c:f>
              <c:strCache>
                <c:ptCount val="2"/>
                <c:pt idx="0">
                  <c:v>2022年</c:v>
                </c:pt>
                <c:pt idx="1">
                  <c:v>2023年</c:v>
                </c:pt>
              </c:strCache>
            </c:strRef>
          </c:cat>
          <c:val>
            <c:numRef>
              <c:f>Sheet1!$B$2:$B$3</c:f>
              <c:numCache>
                <c:formatCode>General</c:formatCode>
                <c:ptCount val="2"/>
                <c:pt idx="0">
                  <c:v>328.26</c:v>
                </c:pt>
                <c:pt idx="1">
                  <c:v>277.03</c:v>
                </c:pt>
              </c:numCache>
            </c:numRef>
          </c:val>
        </c:ser>
        <c:dLbls>
          <c:showLegendKey val="false"/>
          <c:showVal val="true"/>
          <c:showCatName val="false"/>
          <c:showSerName val="false"/>
          <c:showPercent val="false"/>
          <c:showBubbleSize val="false"/>
        </c:dLbls>
        <c:gapWidth val="219"/>
        <c:overlap val="-27"/>
        <c:axId val="652192480"/>
        <c:axId val="336681381"/>
      </c:barChart>
      <c:catAx>
        <c:axId val="65219248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6681381"/>
        <c:crosses val="autoZero"/>
        <c:auto val="true"/>
        <c:lblAlgn val="ctr"/>
        <c:lblOffset val="100"/>
        <c:noMultiLvlLbl val="false"/>
      </c:catAx>
      <c:valAx>
        <c:axId val="33668138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219248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Sheet1!$A$2:$A$4</c:f>
              <c:strCache>
                <c:ptCount val="3"/>
                <c:pt idx="0">
                  <c:v>社会保障和就业支出253.12万元</c:v>
                </c:pt>
                <c:pt idx="1">
                  <c:v>卫生健康支出6.86万元</c:v>
                </c:pt>
                <c:pt idx="2">
                  <c:v>住房保障支出17.05万元</c:v>
                </c:pt>
              </c:strCache>
            </c:strRef>
          </c:cat>
          <c:val>
            <c:numRef>
              <c:f>Sheet1!$B$2:$B$4</c:f>
              <c:numCache>
                <c:formatCode>General</c:formatCode>
                <c:ptCount val="3"/>
                <c:pt idx="0">
                  <c:v>253.12</c:v>
                </c:pt>
                <c:pt idx="1">
                  <c:v>6.86</c:v>
                </c:pt>
                <c:pt idx="2">
                  <c:v>17.05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0875"/>
          <c:y val="0.656353259237008"/>
          <c:w val="0.3985"/>
          <c:h val="0.3109041754280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Lbls>
            <c:dLbl>
              <c:idx val="0"/>
              <c:layout>
                <c:manualLayout>
                  <c:x val="0.160487818827118"/>
                  <c:y val="-0.044793219367721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公务接待费支出决算0.33万元</c:v>
                </c:pt>
              </c:strCache>
            </c:strRef>
          </c:cat>
          <c:val>
            <c:numRef>
              <c:f>Sheet1!$B$2</c:f>
              <c:numCache>
                <c:formatCode>General</c:formatCode>
                <c:ptCount val="1"/>
                <c:pt idx="0">
                  <c:v>0.33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11999</Words>
  <Characters>13605</Characters>
  <Lines>54</Lines>
  <Paragraphs>15</Paragraphs>
  <TotalTime>14</TotalTime>
  <ScaleCrop>false</ScaleCrop>
  <LinksUpToDate>false</LinksUpToDate>
  <CharactersWithSpaces>13769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2020-08-09T01:49:00Z</dcterms:created>
  <dc:creator>曹颖</dc:creator>
  <cp:lastModifiedBy> </cp:lastModifiedBy>
  <cp:lastPrinted>2023-08-04T02:35:00Z</cp:lastPrinted>
  <dcterms:modified xsi:type="dcterms:W3CDTF">2024-10-12T17:25:07Z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B569153DB30B42FFBF9B613C9B5B1782_13</vt:lpwstr>
  </property>
</Properties>
</file>