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3F4FA">
      <w:pPr>
        <w:spacing w:line="600" w:lineRule="exact"/>
        <w:jc w:val="left"/>
        <w:rPr>
          <w:rFonts w:ascii="方正小标宋简体" w:hAnsi="宋体" w:eastAsia="方正小标宋简体"/>
          <w:szCs w:val="21"/>
        </w:rPr>
      </w:pPr>
      <w:bookmarkStart w:id="0" w:name="_Toc15306267"/>
    </w:p>
    <w:p w14:paraId="2F26FA45">
      <w:pPr>
        <w:spacing w:line="600" w:lineRule="exact"/>
        <w:jc w:val="center"/>
        <w:rPr>
          <w:rFonts w:ascii="方正小标宋简体" w:hAnsi="宋体" w:eastAsia="方正小标宋简体"/>
          <w:sz w:val="72"/>
          <w:szCs w:val="72"/>
        </w:rPr>
      </w:pPr>
    </w:p>
    <w:p w14:paraId="7F16FA20">
      <w:pPr>
        <w:spacing w:line="600" w:lineRule="exact"/>
        <w:jc w:val="center"/>
        <w:rPr>
          <w:rFonts w:ascii="方正小标宋简体" w:hAnsi="宋体" w:eastAsia="方正小标宋简体"/>
          <w:sz w:val="72"/>
          <w:szCs w:val="72"/>
        </w:rPr>
      </w:pPr>
    </w:p>
    <w:bookmarkEnd w:id="0"/>
    <w:p w14:paraId="7675824A">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2023年度广元市社会保险事务中心</w:t>
      </w:r>
    </w:p>
    <w:p w14:paraId="384C00C5">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单位决算</w:t>
      </w:r>
    </w:p>
    <w:p w14:paraId="2862F199">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   录</w:t>
      </w:r>
    </w:p>
    <w:p w14:paraId="27264CC2">
      <w:pPr>
        <w:pStyle w:val="11"/>
      </w:pPr>
      <w:r>
        <w:rPr>
          <w:rFonts w:hint="eastAsia"/>
        </w:rPr>
        <w:t>公开时间：202</w:t>
      </w:r>
      <w:r>
        <w:rPr>
          <w:rFonts w:hint="eastAsia"/>
          <w:lang w:val="en-US" w:eastAsia="zh-CN"/>
        </w:rPr>
        <w:t>4</w:t>
      </w:r>
      <w:r>
        <w:rPr>
          <w:rFonts w:hint="eastAsia"/>
        </w:rPr>
        <w:t>年10 月</w:t>
      </w:r>
      <w:r>
        <w:rPr>
          <w:rFonts w:hint="eastAsia"/>
          <w:lang w:val="en-US" w:eastAsia="zh-CN"/>
        </w:rPr>
        <w:t>14</w:t>
      </w:r>
      <w:r>
        <w:rPr>
          <w:rFonts w:hint="eastAsia"/>
        </w:rPr>
        <w:t>日</w:t>
      </w:r>
    </w:p>
    <w:sdt>
      <w:sdtPr>
        <w:rPr>
          <w:rFonts w:ascii="宋体" w:hAnsi="宋体" w:eastAsia="宋体" w:cs="Times New Roman"/>
          <w:kern w:val="2"/>
          <w:sz w:val="21"/>
          <w:szCs w:val="24"/>
          <w:lang w:val="en-US" w:eastAsia="zh-CN" w:bidi="ar-SA"/>
        </w:rPr>
        <w:id w:val="147469625"/>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3E13EC0A">
          <w:pPr>
            <w:spacing w:before="0" w:beforeLines="0" w:after="0" w:afterLines="0" w:line="240" w:lineRule="auto"/>
            <w:ind w:left="0" w:leftChars="0" w:right="0" w:rightChars="0" w:firstLine="0" w:firstLineChars="0"/>
            <w:jc w:val="center"/>
          </w:pPr>
        </w:p>
        <w:p w14:paraId="7E41FC53">
          <w:pPr>
            <w:pStyle w:val="31"/>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_Toc769 </w:instrText>
          </w:r>
          <w:r>
            <w:rPr>
              <w:b/>
            </w:rPr>
            <w:fldChar w:fldCharType="separate"/>
          </w:r>
          <w:r>
            <w:rPr>
              <w:rFonts w:hint="eastAsia" w:ascii="黑体" w:hAnsi="黑体" w:eastAsia="黑体"/>
              <w:b/>
              <w:bCs w:val="0"/>
            </w:rPr>
            <w:t>第一部分 单位概况</w:t>
          </w:r>
          <w:r>
            <w:rPr>
              <w:b/>
            </w:rPr>
            <w:tab/>
          </w:r>
          <w:r>
            <w:rPr>
              <w:b/>
            </w:rPr>
            <w:fldChar w:fldCharType="begin"/>
          </w:r>
          <w:r>
            <w:rPr>
              <w:b/>
            </w:rPr>
            <w:instrText xml:space="preserve"> PAGEREF _Toc769 \h </w:instrText>
          </w:r>
          <w:r>
            <w:rPr>
              <w:b/>
            </w:rPr>
            <w:fldChar w:fldCharType="separate"/>
          </w:r>
          <w:r>
            <w:rPr>
              <w:b/>
            </w:rPr>
            <w:t>3</w:t>
          </w:r>
          <w:r>
            <w:rPr>
              <w:b/>
            </w:rPr>
            <w:fldChar w:fldCharType="end"/>
          </w:r>
          <w:r>
            <w:rPr>
              <w:b/>
            </w:rPr>
            <w:fldChar w:fldCharType="end"/>
          </w:r>
        </w:p>
        <w:p w14:paraId="39C46517">
          <w:pPr>
            <w:pStyle w:val="32"/>
            <w:tabs>
              <w:tab w:val="right" w:leader="dot" w:pos="8306"/>
            </w:tabs>
          </w:pPr>
          <w:r>
            <w:fldChar w:fldCharType="begin"/>
          </w:r>
          <w:r>
            <w:instrText xml:space="preserve"> HYPERLINK \l _Toc13109 </w:instrText>
          </w:r>
          <w:r>
            <w:fldChar w:fldCharType="separate"/>
          </w:r>
          <w:r>
            <w:rPr>
              <w:rFonts w:hint="eastAsia" w:ascii="黑体" w:hAnsi="黑体" w:eastAsia="黑体"/>
              <w:bCs w:val="0"/>
            </w:rPr>
            <w:t>一</w:t>
          </w:r>
          <w:r>
            <w:rPr>
              <w:rFonts w:hint="eastAsia" w:ascii="黑体" w:hAnsi="黑体" w:eastAsia="黑体"/>
              <w:bCs w:val="0"/>
              <w:lang w:eastAsia="zh-CN"/>
            </w:rPr>
            <w:t>、</w:t>
          </w:r>
          <w:r>
            <w:rPr>
              <w:rFonts w:hint="eastAsia" w:ascii="黑体" w:hAnsi="黑体" w:eastAsia="黑体"/>
              <w:bCs w:val="0"/>
            </w:rPr>
            <w:t>主要职责</w:t>
          </w:r>
          <w:r>
            <w:tab/>
          </w:r>
          <w:r>
            <w:fldChar w:fldCharType="begin"/>
          </w:r>
          <w:r>
            <w:instrText xml:space="preserve"> PAGEREF _Toc13109 \h </w:instrText>
          </w:r>
          <w:r>
            <w:fldChar w:fldCharType="separate"/>
          </w:r>
          <w:r>
            <w:t>3</w:t>
          </w:r>
          <w:r>
            <w:fldChar w:fldCharType="end"/>
          </w:r>
          <w:r>
            <w:fldChar w:fldCharType="end"/>
          </w:r>
        </w:p>
        <w:p w14:paraId="4791B48F">
          <w:pPr>
            <w:pStyle w:val="32"/>
            <w:tabs>
              <w:tab w:val="right" w:leader="dot" w:pos="8306"/>
            </w:tabs>
          </w:pPr>
          <w:r>
            <w:fldChar w:fldCharType="begin"/>
          </w:r>
          <w:r>
            <w:instrText xml:space="preserve"> HYPERLINK \l _Toc9945 </w:instrText>
          </w:r>
          <w:r>
            <w:fldChar w:fldCharType="separate"/>
          </w:r>
          <w:r>
            <w:rPr>
              <w:rFonts w:hint="eastAsia" w:ascii="黑体" w:hAnsi="黑体" w:eastAsia="黑体"/>
            </w:rPr>
            <w:t>二、机构设置</w:t>
          </w:r>
          <w:r>
            <w:tab/>
          </w:r>
          <w:r>
            <w:fldChar w:fldCharType="begin"/>
          </w:r>
          <w:r>
            <w:instrText xml:space="preserve"> PAGEREF _Toc9945 \h </w:instrText>
          </w:r>
          <w:r>
            <w:fldChar w:fldCharType="separate"/>
          </w:r>
          <w:r>
            <w:t>3</w:t>
          </w:r>
          <w:r>
            <w:fldChar w:fldCharType="end"/>
          </w:r>
          <w:r>
            <w:fldChar w:fldCharType="end"/>
          </w:r>
        </w:p>
        <w:p w14:paraId="2FE0C3CF">
          <w:pPr>
            <w:pStyle w:val="31"/>
            <w:tabs>
              <w:tab w:val="right" w:leader="dot" w:pos="8306"/>
            </w:tabs>
            <w:rPr>
              <w:b/>
            </w:rPr>
          </w:pPr>
          <w:r>
            <w:rPr>
              <w:b/>
            </w:rPr>
            <w:fldChar w:fldCharType="begin"/>
          </w:r>
          <w:r>
            <w:rPr>
              <w:b/>
            </w:rPr>
            <w:instrText xml:space="preserve"> HYPERLINK \l _Toc19124 </w:instrText>
          </w:r>
          <w:r>
            <w:rPr>
              <w:b/>
            </w:rPr>
            <w:fldChar w:fldCharType="separate"/>
          </w:r>
          <w:r>
            <w:rPr>
              <w:rFonts w:hint="eastAsia" w:ascii="黑体" w:hAnsi="黑体" w:eastAsia="黑体"/>
              <w:b/>
            </w:rPr>
            <w:t xml:space="preserve">第二部分 </w:t>
          </w:r>
          <w:r>
            <w:rPr>
              <w:rFonts w:hint="eastAsia" w:ascii="黑体" w:hAnsi="黑体" w:eastAsia="黑体"/>
              <w:b/>
              <w:lang w:eastAsia="zh-CN"/>
            </w:rPr>
            <w:t>2023年</w:t>
          </w:r>
          <w:r>
            <w:rPr>
              <w:rFonts w:hint="eastAsia" w:ascii="黑体" w:hAnsi="黑体" w:eastAsia="黑体"/>
              <w:b/>
            </w:rPr>
            <w:t>度</w:t>
          </w:r>
          <w:r>
            <w:rPr>
              <w:rFonts w:hint="eastAsia" w:ascii="黑体" w:hAnsi="黑体" w:eastAsia="黑体"/>
              <w:b/>
              <w:bCs/>
            </w:rPr>
            <w:t>单位决算情况说明</w:t>
          </w:r>
          <w:r>
            <w:rPr>
              <w:b/>
            </w:rPr>
            <w:tab/>
          </w:r>
          <w:r>
            <w:rPr>
              <w:b/>
            </w:rPr>
            <w:fldChar w:fldCharType="begin"/>
          </w:r>
          <w:r>
            <w:rPr>
              <w:b/>
            </w:rPr>
            <w:instrText xml:space="preserve"> PAGEREF _Toc19124 \h </w:instrText>
          </w:r>
          <w:r>
            <w:rPr>
              <w:b/>
            </w:rPr>
            <w:fldChar w:fldCharType="separate"/>
          </w:r>
          <w:r>
            <w:rPr>
              <w:b/>
            </w:rPr>
            <w:t>4</w:t>
          </w:r>
          <w:r>
            <w:rPr>
              <w:b/>
            </w:rPr>
            <w:fldChar w:fldCharType="end"/>
          </w:r>
          <w:r>
            <w:rPr>
              <w:b/>
            </w:rPr>
            <w:fldChar w:fldCharType="end"/>
          </w:r>
        </w:p>
        <w:p w14:paraId="07541F86">
          <w:pPr>
            <w:pStyle w:val="32"/>
            <w:tabs>
              <w:tab w:val="right" w:leader="dot" w:pos="8306"/>
            </w:tabs>
          </w:pPr>
          <w:r>
            <w:fldChar w:fldCharType="begin"/>
          </w:r>
          <w:r>
            <w:instrText xml:space="preserve"> HYPERLINK \l _Toc5548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_Toc5548 \h </w:instrText>
          </w:r>
          <w:r>
            <w:fldChar w:fldCharType="separate"/>
          </w:r>
          <w:r>
            <w:t>4</w:t>
          </w:r>
          <w:r>
            <w:fldChar w:fldCharType="end"/>
          </w:r>
          <w:r>
            <w:fldChar w:fldCharType="end"/>
          </w:r>
        </w:p>
        <w:p w14:paraId="66900ECB">
          <w:pPr>
            <w:pStyle w:val="32"/>
            <w:tabs>
              <w:tab w:val="right" w:leader="dot" w:pos="8306"/>
            </w:tabs>
          </w:pPr>
          <w:r>
            <w:fldChar w:fldCharType="begin"/>
          </w:r>
          <w:r>
            <w:instrText xml:space="preserve"> HYPERLINK \l _Toc10586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_Toc10586 \h </w:instrText>
          </w:r>
          <w:r>
            <w:fldChar w:fldCharType="separate"/>
          </w:r>
          <w:r>
            <w:t>4</w:t>
          </w:r>
          <w:r>
            <w:fldChar w:fldCharType="end"/>
          </w:r>
          <w:r>
            <w:fldChar w:fldCharType="end"/>
          </w:r>
        </w:p>
        <w:p w14:paraId="7BD236F3">
          <w:pPr>
            <w:pStyle w:val="32"/>
            <w:tabs>
              <w:tab w:val="right" w:leader="dot" w:pos="8306"/>
            </w:tabs>
          </w:pPr>
          <w:r>
            <w:fldChar w:fldCharType="begin"/>
          </w:r>
          <w:r>
            <w:instrText xml:space="preserve"> HYPERLINK \l _Toc2045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_Toc2045 \h </w:instrText>
          </w:r>
          <w:r>
            <w:fldChar w:fldCharType="separate"/>
          </w:r>
          <w:r>
            <w:t>5</w:t>
          </w:r>
          <w:r>
            <w:fldChar w:fldCharType="end"/>
          </w:r>
          <w:r>
            <w:fldChar w:fldCharType="end"/>
          </w:r>
        </w:p>
        <w:p w14:paraId="02BE0B3C">
          <w:pPr>
            <w:pStyle w:val="32"/>
            <w:tabs>
              <w:tab w:val="right" w:leader="dot" w:pos="8306"/>
            </w:tabs>
          </w:pPr>
          <w:r>
            <w:fldChar w:fldCharType="begin"/>
          </w:r>
          <w:r>
            <w:instrText xml:space="preserve"> HYPERLINK \l _Toc30916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_Toc30916 \h </w:instrText>
          </w:r>
          <w:r>
            <w:fldChar w:fldCharType="separate"/>
          </w:r>
          <w:r>
            <w:t>5</w:t>
          </w:r>
          <w:r>
            <w:fldChar w:fldCharType="end"/>
          </w:r>
          <w:r>
            <w:fldChar w:fldCharType="end"/>
          </w:r>
        </w:p>
        <w:p w14:paraId="39E8A965">
          <w:pPr>
            <w:pStyle w:val="32"/>
            <w:tabs>
              <w:tab w:val="right" w:leader="dot" w:pos="8306"/>
            </w:tabs>
          </w:pPr>
          <w:r>
            <w:fldChar w:fldCharType="begin"/>
          </w:r>
          <w:r>
            <w:instrText xml:space="preserve"> HYPERLINK \l _Toc13135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_Toc13135 \h </w:instrText>
          </w:r>
          <w:r>
            <w:fldChar w:fldCharType="separate"/>
          </w:r>
          <w:r>
            <w:t>6</w:t>
          </w:r>
          <w:r>
            <w:fldChar w:fldCharType="end"/>
          </w:r>
          <w:r>
            <w:fldChar w:fldCharType="end"/>
          </w:r>
        </w:p>
        <w:p w14:paraId="32A1F4CA">
          <w:pPr>
            <w:pStyle w:val="32"/>
            <w:tabs>
              <w:tab w:val="right" w:leader="dot" w:pos="8306"/>
            </w:tabs>
          </w:pPr>
          <w:r>
            <w:fldChar w:fldCharType="begin"/>
          </w:r>
          <w:r>
            <w:instrText xml:space="preserve"> HYPERLINK \l _Toc23095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_Toc23095 \h </w:instrText>
          </w:r>
          <w:r>
            <w:fldChar w:fldCharType="separate"/>
          </w:r>
          <w:r>
            <w:t>8</w:t>
          </w:r>
          <w:r>
            <w:fldChar w:fldCharType="end"/>
          </w:r>
          <w:r>
            <w:fldChar w:fldCharType="end"/>
          </w:r>
        </w:p>
        <w:p w14:paraId="34EA9849">
          <w:pPr>
            <w:pStyle w:val="32"/>
            <w:tabs>
              <w:tab w:val="right" w:leader="dot" w:pos="8306"/>
            </w:tabs>
          </w:pPr>
          <w:r>
            <w:fldChar w:fldCharType="begin"/>
          </w:r>
          <w:r>
            <w:instrText xml:space="preserve"> HYPERLINK \l _Toc24245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_Toc24245 \h </w:instrText>
          </w:r>
          <w:r>
            <w:fldChar w:fldCharType="separate"/>
          </w:r>
          <w:r>
            <w:t>8</w:t>
          </w:r>
          <w:r>
            <w:fldChar w:fldCharType="end"/>
          </w:r>
          <w:r>
            <w:fldChar w:fldCharType="end"/>
          </w:r>
        </w:p>
        <w:p w14:paraId="13E595AE">
          <w:pPr>
            <w:pStyle w:val="32"/>
            <w:tabs>
              <w:tab w:val="right" w:leader="dot" w:pos="8306"/>
            </w:tabs>
          </w:pPr>
          <w:r>
            <w:fldChar w:fldCharType="begin"/>
          </w:r>
          <w:r>
            <w:instrText xml:space="preserve"> HYPERLINK \l _Toc23519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_Toc23519 \h </w:instrText>
          </w:r>
          <w:r>
            <w:fldChar w:fldCharType="separate"/>
          </w:r>
          <w:r>
            <w:t>10</w:t>
          </w:r>
          <w:r>
            <w:fldChar w:fldCharType="end"/>
          </w:r>
          <w:r>
            <w:fldChar w:fldCharType="end"/>
          </w:r>
        </w:p>
        <w:p w14:paraId="07D96453">
          <w:pPr>
            <w:pStyle w:val="32"/>
            <w:tabs>
              <w:tab w:val="right" w:leader="dot" w:pos="8306"/>
            </w:tabs>
          </w:pPr>
          <w:r>
            <w:fldChar w:fldCharType="begin"/>
          </w:r>
          <w:r>
            <w:instrText xml:space="preserve"> HYPERLINK \l _Toc10917 </w:instrText>
          </w:r>
          <w:r>
            <w:fldChar w:fldCharType="separate"/>
          </w:r>
          <w:r>
            <w:rPr>
              <w:rFonts w:hint="eastAsia" w:ascii="黑体" w:hAnsi="黑体" w:eastAsia="黑体"/>
            </w:rPr>
            <w:t>九、 国有资本经营预算支出决算情况说明</w:t>
          </w:r>
          <w:r>
            <w:tab/>
          </w:r>
          <w:r>
            <w:fldChar w:fldCharType="begin"/>
          </w:r>
          <w:r>
            <w:instrText xml:space="preserve"> PAGEREF _Toc10917 \h </w:instrText>
          </w:r>
          <w:r>
            <w:fldChar w:fldCharType="separate"/>
          </w:r>
          <w:r>
            <w:t>10</w:t>
          </w:r>
          <w:r>
            <w:fldChar w:fldCharType="end"/>
          </w:r>
          <w:r>
            <w:fldChar w:fldCharType="end"/>
          </w:r>
        </w:p>
        <w:p w14:paraId="1EF3A355">
          <w:pPr>
            <w:pStyle w:val="32"/>
            <w:tabs>
              <w:tab w:val="right" w:leader="dot" w:pos="8306"/>
            </w:tabs>
          </w:pPr>
          <w:r>
            <w:fldChar w:fldCharType="begin"/>
          </w:r>
          <w:r>
            <w:instrText xml:space="preserve"> HYPERLINK \l _Toc30965 </w:instrText>
          </w:r>
          <w:r>
            <w:fldChar w:fldCharType="separate"/>
          </w:r>
          <w:r>
            <w:rPr>
              <w:rFonts w:hint="eastAsia" w:ascii="黑体" w:hAnsi="黑体" w:eastAsia="黑体"/>
            </w:rPr>
            <w:t>十、 其他重要事项的情况说明</w:t>
          </w:r>
          <w:r>
            <w:tab/>
          </w:r>
          <w:r>
            <w:fldChar w:fldCharType="begin"/>
          </w:r>
          <w:r>
            <w:instrText xml:space="preserve"> PAGEREF _Toc30965 \h </w:instrText>
          </w:r>
          <w:r>
            <w:fldChar w:fldCharType="separate"/>
          </w:r>
          <w:r>
            <w:t>10</w:t>
          </w:r>
          <w:r>
            <w:fldChar w:fldCharType="end"/>
          </w:r>
          <w:r>
            <w:fldChar w:fldCharType="end"/>
          </w:r>
        </w:p>
        <w:p w14:paraId="2543D83A">
          <w:pPr>
            <w:pStyle w:val="31"/>
            <w:tabs>
              <w:tab w:val="right" w:leader="dot" w:pos="8306"/>
            </w:tabs>
            <w:rPr>
              <w:b/>
            </w:rPr>
          </w:pPr>
          <w:r>
            <w:rPr>
              <w:b/>
            </w:rPr>
            <w:fldChar w:fldCharType="begin"/>
          </w:r>
          <w:r>
            <w:rPr>
              <w:b/>
            </w:rPr>
            <w:instrText xml:space="preserve"> HYPERLINK \l _Toc30158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_Toc30158 \h </w:instrText>
          </w:r>
          <w:r>
            <w:rPr>
              <w:b/>
            </w:rPr>
            <w:fldChar w:fldCharType="separate"/>
          </w:r>
          <w:r>
            <w:rPr>
              <w:b/>
            </w:rPr>
            <w:t>12</w:t>
          </w:r>
          <w:r>
            <w:rPr>
              <w:b/>
            </w:rPr>
            <w:fldChar w:fldCharType="end"/>
          </w:r>
          <w:r>
            <w:rPr>
              <w:b/>
            </w:rPr>
            <w:fldChar w:fldCharType="end"/>
          </w:r>
        </w:p>
        <w:p w14:paraId="33E47217">
          <w:pPr>
            <w:pStyle w:val="31"/>
            <w:tabs>
              <w:tab w:val="right" w:leader="dot" w:pos="8306"/>
            </w:tabs>
            <w:rPr>
              <w:b/>
            </w:rPr>
          </w:pPr>
          <w:r>
            <w:rPr>
              <w:b/>
            </w:rPr>
            <w:fldChar w:fldCharType="begin"/>
          </w:r>
          <w:r>
            <w:rPr>
              <w:b/>
            </w:rPr>
            <w:instrText xml:space="preserve"> HYPERLINK \l _Toc28725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_Toc28725 \h </w:instrText>
          </w:r>
          <w:r>
            <w:rPr>
              <w:b/>
            </w:rPr>
            <w:fldChar w:fldCharType="separate"/>
          </w:r>
          <w:r>
            <w:rPr>
              <w:b/>
            </w:rPr>
            <w:t>14</w:t>
          </w:r>
          <w:r>
            <w:rPr>
              <w:b/>
            </w:rPr>
            <w:fldChar w:fldCharType="end"/>
          </w:r>
          <w:r>
            <w:rPr>
              <w:b/>
            </w:rPr>
            <w:fldChar w:fldCharType="end"/>
          </w:r>
        </w:p>
        <w:p w14:paraId="6FAF8C20">
          <w:pPr>
            <w:pStyle w:val="31"/>
            <w:tabs>
              <w:tab w:val="right" w:leader="dot" w:pos="8306"/>
            </w:tabs>
            <w:rPr>
              <w:b/>
            </w:rPr>
          </w:pPr>
          <w:r>
            <w:rPr>
              <w:b/>
            </w:rPr>
            <w:fldChar w:fldCharType="begin"/>
          </w:r>
          <w:r>
            <w:rPr>
              <w:b/>
            </w:rPr>
            <w:instrText xml:space="preserve"> HYPERLINK \l _Toc16334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_Toc16334 \h </w:instrText>
          </w:r>
          <w:r>
            <w:rPr>
              <w:b/>
            </w:rPr>
            <w:fldChar w:fldCharType="separate"/>
          </w:r>
          <w:r>
            <w:rPr>
              <w:b/>
            </w:rPr>
            <w:t>31</w:t>
          </w:r>
          <w:r>
            <w:rPr>
              <w:b/>
            </w:rPr>
            <w:fldChar w:fldCharType="end"/>
          </w:r>
          <w:r>
            <w:rPr>
              <w:b/>
            </w:rPr>
            <w:fldChar w:fldCharType="end"/>
          </w:r>
        </w:p>
        <w:p w14:paraId="6F044602">
          <w:pPr>
            <w:pStyle w:val="32"/>
            <w:tabs>
              <w:tab w:val="right" w:leader="dot" w:pos="8306"/>
            </w:tabs>
          </w:pPr>
          <w:r>
            <w:fldChar w:fldCharType="begin"/>
          </w:r>
          <w:r>
            <w:instrText xml:space="preserve"> HYPERLINK \l _Toc9036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_Toc9036 \h </w:instrText>
          </w:r>
          <w:r>
            <w:fldChar w:fldCharType="separate"/>
          </w:r>
          <w:r>
            <w:t>31</w:t>
          </w:r>
          <w:r>
            <w:fldChar w:fldCharType="end"/>
          </w:r>
          <w:r>
            <w:fldChar w:fldCharType="end"/>
          </w:r>
        </w:p>
        <w:p w14:paraId="6E3E734C">
          <w:pPr>
            <w:pStyle w:val="32"/>
            <w:tabs>
              <w:tab w:val="right" w:leader="dot" w:pos="8306"/>
            </w:tabs>
          </w:pPr>
          <w:r>
            <w:fldChar w:fldCharType="begin"/>
          </w:r>
          <w:r>
            <w:instrText xml:space="preserve"> HYPERLINK \l _Toc32435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_Toc32435 \h </w:instrText>
          </w:r>
          <w:r>
            <w:fldChar w:fldCharType="separate"/>
          </w:r>
          <w:r>
            <w:t>31</w:t>
          </w:r>
          <w:r>
            <w:fldChar w:fldCharType="end"/>
          </w:r>
          <w:r>
            <w:fldChar w:fldCharType="end"/>
          </w:r>
        </w:p>
        <w:p w14:paraId="05C4D007">
          <w:pPr>
            <w:pStyle w:val="32"/>
            <w:tabs>
              <w:tab w:val="right" w:leader="dot" w:pos="8306"/>
            </w:tabs>
          </w:pPr>
          <w:r>
            <w:fldChar w:fldCharType="begin"/>
          </w:r>
          <w:r>
            <w:instrText xml:space="preserve"> HYPERLINK \l _Toc15944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_Toc15944 \h </w:instrText>
          </w:r>
          <w:r>
            <w:fldChar w:fldCharType="separate"/>
          </w:r>
          <w:r>
            <w:t>31</w:t>
          </w:r>
          <w:r>
            <w:fldChar w:fldCharType="end"/>
          </w:r>
          <w:r>
            <w:fldChar w:fldCharType="end"/>
          </w:r>
        </w:p>
        <w:p w14:paraId="14C122E0">
          <w:pPr>
            <w:pStyle w:val="32"/>
            <w:tabs>
              <w:tab w:val="right" w:leader="dot" w:pos="8306"/>
            </w:tabs>
          </w:pPr>
          <w:r>
            <w:fldChar w:fldCharType="begin"/>
          </w:r>
          <w:r>
            <w:instrText xml:space="preserve"> HYPERLINK \l _Toc8155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_Toc8155 \h </w:instrText>
          </w:r>
          <w:r>
            <w:fldChar w:fldCharType="separate"/>
          </w:r>
          <w:r>
            <w:t>31</w:t>
          </w:r>
          <w:r>
            <w:fldChar w:fldCharType="end"/>
          </w:r>
          <w:r>
            <w:fldChar w:fldCharType="end"/>
          </w:r>
        </w:p>
        <w:p w14:paraId="0863BABE">
          <w:pPr>
            <w:pStyle w:val="32"/>
            <w:tabs>
              <w:tab w:val="right" w:leader="dot" w:pos="8306"/>
            </w:tabs>
          </w:pPr>
          <w:r>
            <w:fldChar w:fldCharType="begin"/>
          </w:r>
          <w:r>
            <w:instrText xml:space="preserve"> HYPERLINK \l _Toc6427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_Toc6427 \h </w:instrText>
          </w:r>
          <w:r>
            <w:fldChar w:fldCharType="separate"/>
          </w:r>
          <w:r>
            <w:t>31</w:t>
          </w:r>
          <w:r>
            <w:fldChar w:fldCharType="end"/>
          </w:r>
          <w:r>
            <w:fldChar w:fldCharType="end"/>
          </w:r>
        </w:p>
        <w:p w14:paraId="21C27D9C">
          <w:pPr>
            <w:pStyle w:val="32"/>
            <w:tabs>
              <w:tab w:val="right" w:leader="dot" w:pos="8306"/>
            </w:tabs>
          </w:pPr>
          <w:r>
            <w:fldChar w:fldCharType="begin"/>
          </w:r>
          <w:r>
            <w:instrText xml:space="preserve"> HYPERLINK \l _Toc5796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_Toc5796 \h </w:instrText>
          </w:r>
          <w:r>
            <w:fldChar w:fldCharType="separate"/>
          </w:r>
          <w:r>
            <w:t>31</w:t>
          </w:r>
          <w:r>
            <w:fldChar w:fldCharType="end"/>
          </w:r>
          <w:r>
            <w:fldChar w:fldCharType="end"/>
          </w:r>
        </w:p>
        <w:p w14:paraId="2300EC2E">
          <w:pPr>
            <w:pStyle w:val="32"/>
            <w:tabs>
              <w:tab w:val="right" w:leader="dot" w:pos="8306"/>
            </w:tabs>
          </w:pPr>
          <w:r>
            <w:fldChar w:fldCharType="begin"/>
          </w:r>
          <w:r>
            <w:instrText xml:space="preserve"> HYPERLINK \l _Toc22681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bookmarkStart w:id="118" w:name="_GoBack"/>
          <w:bookmarkEnd w:id="118"/>
          <w:r>
            <w:tab/>
          </w:r>
          <w:r>
            <w:fldChar w:fldCharType="begin"/>
          </w:r>
          <w:r>
            <w:instrText xml:space="preserve"> PAGEREF _Toc22681 \h </w:instrText>
          </w:r>
          <w:r>
            <w:fldChar w:fldCharType="separate"/>
          </w:r>
          <w:r>
            <w:t>31</w:t>
          </w:r>
          <w:r>
            <w:fldChar w:fldCharType="end"/>
          </w:r>
          <w:r>
            <w:fldChar w:fldCharType="end"/>
          </w:r>
        </w:p>
        <w:p w14:paraId="110337D6">
          <w:pPr>
            <w:pStyle w:val="32"/>
            <w:tabs>
              <w:tab w:val="right" w:leader="dot" w:pos="8306"/>
            </w:tabs>
          </w:pPr>
          <w:r>
            <w:fldChar w:fldCharType="begin"/>
          </w:r>
          <w:r>
            <w:instrText xml:space="preserve"> HYPERLINK \l _Toc16315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_Toc16315 \h </w:instrText>
          </w:r>
          <w:r>
            <w:fldChar w:fldCharType="separate"/>
          </w:r>
          <w:r>
            <w:t>31</w:t>
          </w:r>
          <w:r>
            <w:fldChar w:fldCharType="end"/>
          </w:r>
          <w:r>
            <w:fldChar w:fldCharType="end"/>
          </w:r>
        </w:p>
        <w:p w14:paraId="1F0C14D0">
          <w:pPr>
            <w:pStyle w:val="32"/>
            <w:tabs>
              <w:tab w:val="right" w:leader="dot" w:pos="8306"/>
            </w:tabs>
          </w:pPr>
          <w:r>
            <w:fldChar w:fldCharType="begin"/>
          </w:r>
          <w:r>
            <w:instrText xml:space="preserve"> HYPERLINK \l _Toc11586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_Toc11586 \h </w:instrText>
          </w:r>
          <w:r>
            <w:fldChar w:fldCharType="separate"/>
          </w:r>
          <w:r>
            <w:t>31</w:t>
          </w:r>
          <w:r>
            <w:fldChar w:fldCharType="end"/>
          </w:r>
          <w:r>
            <w:fldChar w:fldCharType="end"/>
          </w:r>
        </w:p>
        <w:p w14:paraId="37D55B0B">
          <w:pPr>
            <w:pStyle w:val="32"/>
            <w:tabs>
              <w:tab w:val="right" w:leader="dot" w:pos="8306"/>
            </w:tabs>
          </w:pPr>
          <w:r>
            <w:fldChar w:fldCharType="begin"/>
          </w:r>
          <w:r>
            <w:instrText xml:space="preserve"> HYPERLINK \l _Toc15900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_Toc15900 \h </w:instrText>
          </w:r>
          <w:r>
            <w:fldChar w:fldCharType="separate"/>
          </w:r>
          <w:r>
            <w:t>31</w:t>
          </w:r>
          <w:r>
            <w:fldChar w:fldCharType="end"/>
          </w:r>
          <w:r>
            <w:fldChar w:fldCharType="end"/>
          </w:r>
        </w:p>
        <w:p w14:paraId="0DA392C0">
          <w:pPr>
            <w:pStyle w:val="32"/>
            <w:tabs>
              <w:tab w:val="right" w:leader="dot" w:pos="8306"/>
            </w:tabs>
          </w:pPr>
          <w:r>
            <w:fldChar w:fldCharType="begin"/>
          </w:r>
          <w:r>
            <w:instrText xml:space="preserve"> HYPERLINK \l _Toc30894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fldChar w:fldCharType="begin"/>
          </w:r>
          <w:r>
            <w:instrText xml:space="preserve"> PAGEREF _Toc30894 \h </w:instrText>
          </w:r>
          <w:r>
            <w:fldChar w:fldCharType="separate"/>
          </w:r>
          <w:r>
            <w:t>31</w:t>
          </w:r>
          <w:r>
            <w:fldChar w:fldCharType="end"/>
          </w:r>
          <w:r>
            <w:fldChar w:fldCharType="end"/>
          </w:r>
        </w:p>
        <w:p w14:paraId="2FEFB324">
          <w:pPr>
            <w:pStyle w:val="32"/>
            <w:tabs>
              <w:tab w:val="right" w:leader="dot" w:pos="8306"/>
            </w:tabs>
          </w:pPr>
          <w:r>
            <w:fldChar w:fldCharType="begin"/>
          </w:r>
          <w:r>
            <w:instrText xml:space="preserve"> HYPERLINK \l _Toc21830 </w:instrText>
          </w:r>
          <w:r>
            <w:fldChar w:fldCharType="separate"/>
          </w:r>
          <w:r>
            <w:rPr>
              <w:rFonts w:hint="eastAsia" w:ascii="仿宋" w:hAnsi="仿宋" w:eastAsia="仿宋"/>
              <w:bCs w:val="0"/>
            </w:rPr>
            <w:t>十二、国有资本经营预算财政拨款支出决算表</w:t>
          </w:r>
          <w:r>
            <w:tab/>
          </w:r>
          <w:r>
            <w:fldChar w:fldCharType="begin"/>
          </w:r>
          <w:r>
            <w:instrText xml:space="preserve"> PAGEREF _Toc21830 \h </w:instrText>
          </w:r>
          <w:r>
            <w:fldChar w:fldCharType="separate"/>
          </w:r>
          <w:r>
            <w:t>31</w:t>
          </w:r>
          <w:r>
            <w:fldChar w:fldCharType="end"/>
          </w:r>
          <w:r>
            <w:fldChar w:fldCharType="end"/>
          </w:r>
        </w:p>
        <w:p w14:paraId="4CACBD06">
          <w:pPr>
            <w:pStyle w:val="32"/>
            <w:tabs>
              <w:tab w:val="right" w:leader="dot" w:pos="8306"/>
            </w:tabs>
          </w:pPr>
          <w:r>
            <w:fldChar w:fldCharType="begin"/>
          </w:r>
          <w:r>
            <w:instrText xml:space="preserve"> HYPERLINK \l _Toc24455 </w:instrText>
          </w:r>
          <w:r>
            <w:fldChar w:fldCharType="separate"/>
          </w:r>
          <w:r>
            <w:rPr>
              <w:rFonts w:hint="eastAsia" w:ascii="仿宋" w:hAnsi="仿宋" w:eastAsia="仿宋"/>
              <w:bCs w:val="0"/>
            </w:rPr>
            <w:t>十三、财政拨款“三公”经费支出决算表</w:t>
          </w:r>
          <w:r>
            <w:tab/>
          </w:r>
          <w:r>
            <w:fldChar w:fldCharType="begin"/>
          </w:r>
          <w:r>
            <w:instrText xml:space="preserve"> PAGEREF _Toc24455 \h </w:instrText>
          </w:r>
          <w:r>
            <w:fldChar w:fldCharType="separate"/>
          </w:r>
          <w:r>
            <w:t>31</w:t>
          </w:r>
          <w:r>
            <w:fldChar w:fldCharType="end"/>
          </w:r>
          <w:r>
            <w:fldChar w:fldCharType="end"/>
          </w:r>
        </w:p>
        <w:p w14:paraId="73062C79">
          <w:pPr>
            <w:rPr>
              <w:rFonts w:ascii="Times New Roman" w:hAnsi="Times New Roman" w:eastAsia="宋体" w:cs="Times New Roman"/>
              <w:kern w:val="2"/>
              <w:sz w:val="21"/>
              <w:szCs w:val="24"/>
              <w:lang w:val="en-US" w:eastAsia="zh-CN" w:bidi="ar-SA"/>
            </w:rPr>
          </w:pPr>
          <w:r>
            <w:br w:type="page"/>
          </w:r>
        </w:p>
        <w:p w14:paraId="0FDD9F33">
          <w:pPr>
            <w:pStyle w:val="32"/>
            <w:tabs>
              <w:tab w:val="right" w:leader="dot" w:pos="8306"/>
            </w:tabs>
          </w:pPr>
        </w:p>
        <w:p w14:paraId="48E8E7CF">
          <w:pPr>
            <w:rPr>
              <w:b/>
            </w:rPr>
          </w:pPr>
          <w:r>
            <w:rPr>
              <w:b/>
            </w:rPr>
            <w:fldChar w:fldCharType="end"/>
          </w:r>
        </w:p>
      </w:sdtContent>
    </w:sdt>
    <w:p w14:paraId="37DACED5">
      <w:pPr>
        <w:widowControl/>
        <w:numPr>
          <w:ilvl w:val="0"/>
          <w:numId w:val="1"/>
        </w:numPr>
        <w:spacing w:line="440" w:lineRule="exact"/>
        <w:jc w:val="center"/>
        <w:outlineLvl w:val="0"/>
        <w:rPr>
          <w:rStyle w:val="17"/>
          <w:rFonts w:ascii="黑体" w:hAnsi="黑体" w:eastAsia="黑体"/>
          <w:b w:val="0"/>
          <w:bCs w:val="0"/>
        </w:rPr>
      </w:pPr>
      <w:bookmarkStart w:id="1" w:name="_Toc769"/>
      <w:r>
        <w:rPr>
          <w:rStyle w:val="17"/>
          <w:rFonts w:hint="eastAsia" w:ascii="黑体" w:hAnsi="黑体" w:eastAsia="黑体"/>
          <w:b w:val="0"/>
          <w:bCs w:val="0"/>
        </w:rPr>
        <w:t>单位概况</w:t>
      </w:r>
      <w:bookmarkEnd w:id="1"/>
    </w:p>
    <w:p w14:paraId="4CF89C46">
      <w:pPr>
        <w:pStyle w:val="2"/>
        <w:ind w:firstLine="0" w:firstLineChars="0"/>
      </w:pPr>
    </w:p>
    <w:p w14:paraId="05664535">
      <w:pPr>
        <w:pStyle w:val="4"/>
        <w:ind w:firstLine="640" w:firstLineChars="200"/>
        <w:rPr>
          <w:rStyle w:val="18"/>
          <w:rFonts w:ascii="黑体" w:hAnsi="黑体" w:eastAsia="黑体"/>
          <w:b w:val="0"/>
          <w:bCs w:val="0"/>
        </w:rPr>
      </w:pPr>
      <w:bookmarkStart w:id="2" w:name="_Toc13109"/>
      <w:bookmarkStart w:id="3" w:name="_Toc30771"/>
      <w:bookmarkStart w:id="4" w:name="_Toc15396600"/>
      <w:bookmarkStart w:id="5" w:name="_Toc15377197"/>
      <w:r>
        <w:rPr>
          <w:rStyle w:val="18"/>
          <w:rFonts w:hint="eastAsia" w:ascii="黑体" w:hAnsi="黑体" w:eastAsia="黑体"/>
          <w:b w:val="0"/>
          <w:bCs w:val="0"/>
        </w:rPr>
        <w:t>一</w:t>
      </w:r>
      <w:r>
        <w:rPr>
          <w:rStyle w:val="18"/>
          <w:rFonts w:hint="eastAsia" w:ascii="黑体" w:hAnsi="黑体" w:eastAsia="黑体"/>
          <w:b w:val="0"/>
          <w:bCs w:val="0"/>
          <w:lang w:eastAsia="zh-CN"/>
        </w:rPr>
        <w:t>、</w:t>
      </w:r>
      <w:r>
        <w:rPr>
          <w:rStyle w:val="18"/>
          <w:rFonts w:hint="eastAsia" w:ascii="黑体" w:hAnsi="黑体" w:eastAsia="黑体"/>
          <w:b w:val="0"/>
          <w:bCs w:val="0"/>
        </w:rPr>
        <w:t>主要职责</w:t>
      </w:r>
      <w:bookmarkEnd w:id="2"/>
      <w:bookmarkEnd w:id="3"/>
    </w:p>
    <w:p w14:paraId="7465496D">
      <w:pPr>
        <w:pStyle w:val="4"/>
        <w:ind w:firstLine="640" w:firstLineChars="200"/>
        <w:rPr>
          <w:rFonts w:hint="eastAsia" w:ascii="仿宋_GB2312" w:hAnsi="仿宋_GB2312" w:eastAsia="仿宋_GB2312" w:cs="仿宋_GB2312"/>
          <w:b w:val="0"/>
          <w:bCs w:val="0"/>
          <w:kern w:val="2"/>
          <w:sz w:val="32"/>
          <w:szCs w:val="32"/>
          <w:lang w:val="en-US" w:eastAsia="zh-CN" w:bidi="ar-SA"/>
        </w:rPr>
      </w:pPr>
      <w:bookmarkStart w:id="6" w:name="_Toc5683"/>
      <w:bookmarkStart w:id="7" w:name="_Toc22004"/>
      <w:r>
        <w:rPr>
          <w:rFonts w:hint="eastAsia" w:ascii="仿宋_GB2312" w:hAnsi="仿宋_GB2312" w:eastAsia="仿宋_GB2312" w:cs="仿宋_GB2312"/>
          <w:b w:val="0"/>
          <w:bCs w:val="0"/>
          <w:kern w:val="2"/>
          <w:sz w:val="32"/>
          <w:szCs w:val="32"/>
          <w:lang w:val="en-US" w:eastAsia="zh-CN" w:bidi="ar-SA"/>
        </w:rPr>
        <w:t>贯彻执行养老、失业、工伤保险工作相关法律、法规、规章和政策；负责全市企业职工养老保险、机关事业单位养老保险、城乡居民养老保险、工伤保险的参保登记、扩面征缴、稽核、关系转移接续、权益记录、待遇发放及调整、综合指导和管理工作；负责全市失业保险的参保登记、社会保险费征收及征缴稽核工作；承担市本级企业职工基本养老保险、机关事业单位养老保险、失业保险、工伤保险的相关经办工作，承担职业年金经办工作；负责全市社会保险基金管理和预、决算工作；指导县（区）依法开展社会保险经办服务工作；完成市人力资源社会保障局交办的其他任务。</w:t>
      </w:r>
      <w:bookmarkEnd w:id="6"/>
    </w:p>
    <w:p w14:paraId="47646638">
      <w:pPr>
        <w:pStyle w:val="4"/>
        <w:ind w:firstLine="640" w:firstLineChars="200"/>
        <w:rPr>
          <w:rFonts w:ascii="黑体" w:hAnsi="黑体" w:eastAsia="黑体"/>
          <w:b w:val="0"/>
        </w:rPr>
      </w:pPr>
      <w:bookmarkStart w:id="8" w:name="_Toc9945"/>
      <w:r>
        <w:rPr>
          <w:rFonts w:hint="eastAsia" w:ascii="黑体" w:hAnsi="黑体" w:eastAsia="黑体"/>
          <w:b w:val="0"/>
        </w:rPr>
        <w:t>二、机构设置</w:t>
      </w:r>
      <w:bookmarkEnd w:id="7"/>
      <w:bookmarkEnd w:id="8"/>
    </w:p>
    <w:bookmarkEnd w:id="4"/>
    <w:bookmarkEnd w:id="5"/>
    <w:p w14:paraId="57CA3CF2">
      <w:pPr>
        <w:widowControl/>
        <w:ind w:firstLine="640" w:firstLineChars="200"/>
        <w:jc w:val="left"/>
        <w:rPr>
          <w:rFonts w:ascii="仿宋" w:hAnsi="仿宋" w:eastAsia="仿宋"/>
          <w:kern w:val="0"/>
          <w:sz w:val="32"/>
          <w:szCs w:val="32"/>
        </w:rPr>
      </w:pPr>
      <w:r>
        <w:rPr>
          <w:rFonts w:hint="eastAsia" w:ascii="仿宋_GB2312" w:hAnsi="仿宋_GB2312" w:eastAsia="仿宋_GB2312" w:cs="仿宋_GB2312"/>
          <w:sz w:val="32"/>
          <w:szCs w:val="32"/>
        </w:rPr>
        <w:t>广元市社会保险事务中心是广元市人力资源社会保障局下属参照公务员管理的公益一类事业单位。</w:t>
      </w:r>
      <w:r>
        <w:rPr>
          <w:rFonts w:ascii="仿宋" w:hAnsi="仿宋" w:eastAsia="仿宋"/>
          <w:sz w:val="32"/>
          <w:szCs w:val="32"/>
        </w:rPr>
        <w:br w:type="page"/>
      </w:r>
    </w:p>
    <w:p w14:paraId="01CDFCD4">
      <w:pPr>
        <w:pStyle w:val="3"/>
        <w:ind w:right="440"/>
        <w:jc w:val="center"/>
        <w:rPr>
          <w:rStyle w:val="17"/>
          <w:rFonts w:ascii="黑体" w:hAnsi="黑体" w:eastAsia="黑体"/>
          <w:b w:val="0"/>
          <w:bCs/>
        </w:rPr>
      </w:pPr>
      <w:bookmarkStart w:id="9" w:name="_Toc9777"/>
      <w:bookmarkStart w:id="10" w:name="_Toc19124"/>
      <w:bookmarkStart w:id="11" w:name="_Toc15377204"/>
      <w:bookmarkStart w:id="12" w:name="_Toc15396602"/>
      <w:r>
        <w:rPr>
          <w:rFonts w:hint="eastAsia" w:ascii="黑体" w:hAnsi="黑体" w:eastAsia="黑体"/>
          <w:b w:val="0"/>
        </w:rPr>
        <w:t xml:space="preserve">第二部分 </w:t>
      </w:r>
      <w:r>
        <w:rPr>
          <w:rFonts w:hint="eastAsia" w:ascii="黑体" w:hAnsi="黑体" w:eastAsia="黑体"/>
          <w:b w:val="0"/>
          <w:lang w:eastAsia="zh-CN"/>
        </w:rPr>
        <w:t>2023年</w:t>
      </w:r>
      <w:r>
        <w:rPr>
          <w:rFonts w:hint="eastAsia" w:ascii="黑体" w:hAnsi="黑体" w:eastAsia="黑体"/>
          <w:b w:val="0"/>
        </w:rPr>
        <w:t>度</w:t>
      </w:r>
      <w:r>
        <w:rPr>
          <w:rStyle w:val="17"/>
          <w:rFonts w:hint="eastAsia" w:ascii="黑体" w:hAnsi="黑体" w:eastAsia="黑体"/>
          <w:b w:val="0"/>
          <w:bCs/>
        </w:rPr>
        <w:t>单位决算情况说明</w:t>
      </w:r>
      <w:bookmarkEnd w:id="9"/>
      <w:bookmarkEnd w:id="10"/>
      <w:bookmarkEnd w:id="11"/>
      <w:bookmarkEnd w:id="12"/>
    </w:p>
    <w:p w14:paraId="36EA0526"/>
    <w:p w14:paraId="1CE20D12">
      <w:pPr>
        <w:pStyle w:val="27"/>
        <w:numPr>
          <w:ilvl w:val="0"/>
          <w:numId w:val="2"/>
        </w:numPr>
        <w:spacing w:line="600" w:lineRule="exact"/>
        <w:ind w:firstLineChars="0"/>
        <w:outlineLvl w:val="1"/>
        <w:rPr>
          <w:rStyle w:val="18"/>
          <w:rFonts w:ascii="黑体" w:hAnsi="黑体" w:eastAsia="黑体"/>
          <w:b w:val="0"/>
        </w:rPr>
      </w:pPr>
      <w:bookmarkStart w:id="13" w:name="_Toc15377205"/>
      <w:bookmarkStart w:id="14" w:name="_Toc4205"/>
      <w:bookmarkStart w:id="15" w:name="_Toc5548"/>
      <w:bookmarkStart w:id="16" w:name="_Toc15396603"/>
      <w:r>
        <w:rPr>
          <w:rFonts w:hint="eastAsia" w:ascii="黑体" w:hAnsi="黑体" w:eastAsia="黑体"/>
          <w:sz w:val="32"/>
          <w:szCs w:val="32"/>
        </w:rPr>
        <w:t>收</w:t>
      </w:r>
      <w:r>
        <w:rPr>
          <w:rStyle w:val="18"/>
          <w:rFonts w:hint="eastAsia" w:ascii="黑体" w:hAnsi="黑体" w:eastAsia="黑体"/>
          <w:b w:val="0"/>
        </w:rPr>
        <w:t>入支出决算总体情况说明</w:t>
      </w:r>
      <w:bookmarkEnd w:id="13"/>
      <w:bookmarkEnd w:id="14"/>
      <w:bookmarkEnd w:id="15"/>
      <w:bookmarkEnd w:id="16"/>
    </w:p>
    <w:p w14:paraId="5ACC4402">
      <w:pPr>
        <w:pStyle w:val="2"/>
        <w:rPr>
          <w:rFonts w:ascii="仿宋" w:hAnsi="仿宋" w:eastAsia="仿宋"/>
          <w:sz w:val="32"/>
          <w:szCs w:val="32"/>
        </w:rPr>
      </w:pPr>
      <w:r>
        <w:rPr>
          <w:rFonts w:hint="eastAsia" w:ascii="仿宋" w:hAnsi="仿宋" w:eastAsia="仿宋"/>
          <w:sz w:val="32"/>
          <w:szCs w:val="32"/>
          <w:lang w:eastAsia="zh-CN"/>
        </w:rPr>
        <w:t>2023年</w:t>
      </w:r>
      <w:r>
        <w:rPr>
          <w:rFonts w:hint="eastAsia" w:ascii="仿宋" w:hAnsi="仿宋" w:eastAsia="仿宋"/>
          <w:sz w:val="32"/>
          <w:szCs w:val="32"/>
        </w:rPr>
        <w:t>度收、支</w:t>
      </w:r>
      <w:r>
        <w:rPr>
          <w:rFonts w:hint="eastAsia" w:ascii="仿宋" w:hAnsi="仿宋" w:eastAsia="仿宋"/>
          <w:sz w:val="32"/>
          <w:szCs w:val="32"/>
          <w:lang w:eastAsia="zh-CN"/>
        </w:rPr>
        <w:t>总计均为2432.36万元。与2022年度相比，收、支总计各增加</w:t>
      </w:r>
      <w:r>
        <w:rPr>
          <w:rFonts w:hint="eastAsia" w:ascii="仿宋" w:hAnsi="仿宋" w:eastAsia="仿宋"/>
          <w:sz w:val="32"/>
          <w:szCs w:val="32"/>
          <w:lang w:val="en-US" w:eastAsia="zh-CN"/>
        </w:rPr>
        <w:t>241.13</w:t>
      </w:r>
      <w:r>
        <w:rPr>
          <w:rFonts w:hint="eastAsia" w:ascii="仿宋" w:hAnsi="仿宋" w:eastAsia="仿宋"/>
          <w:sz w:val="32"/>
          <w:szCs w:val="32"/>
          <w:lang w:eastAsia="zh-CN"/>
        </w:rPr>
        <w:t>万元，增长</w:t>
      </w:r>
      <w:r>
        <w:rPr>
          <w:rFonts w:hint="eastAsia" w:ascii="仿宋" w:hAnsi="仿宋" w:eastAsia="仿宋"/>
          <w:sz w:val="32"/>
          <w:szCs w:val="32"/>
          <w:lang w:val="en-US" w:eastAsia="zh-CN"/>
        </w:rPr>
        <w:t>11</w:t>
      </w:r>
      <w:r>
        <w:rPr>
          <w:rFonts w:hint="eastAsia" w:ascii="仿宋" w:hAnsi="仿宋" w:eastAsia="仿宋"/>
          <w:sz w:val="32"/>
          <w:szCs w:val="32"/>
          <w:lang w:eastAsia="zh-CN"/>
        </w:rPr>
        <w:t>%。主要变动原因：</w:t>
      </w:r>
      <w:r>
        <w:rPr>
          <w:rFonts w:hint="eastAsia" w:ascii="仿宋" w:hAnsi="仿宋" w:eastAsia="仿宋"/>
          <w:sz w:val="32"/>
          <w:szCs w:val="32"/>
          <w:lang w:val="en-US" w:eastAsia="zh-CN"/>
        </w:rPr>
        <w:t>一是本年度人员较上年减少1人，人员经费和公用经费随之减少；二是代发抚恤金较上年增长325.59万元。</w:t>
      </w:r>
    </w:p>
    <w:p w14:paraId="15C6202B">
      <w:pPr>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drawing>
          <wp:anchor distT="0" distB="0" distL="114300" distR="114300" simplePos="0" relativeHeight="251660288" behindDoc="0" locked="0" layoutInCell="1" allowOverlap="1">
            <wp:simplePos x="0" y="0"/>
            <wp:positionH relativeFrom="column">
              <wp:posOffset>299720</wp:posOffset>
            </wp:positionH>
            <wp:positionV relativeFrom="paragraph">
              <wp:posOffset>165735</wp:posOffset>
            </wp:positionV>
            <wp:extent cx="4781550" cy="2940050"/>
            <wp:effectExtent l="4445" t="4445" r="14605" b="825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50B5440B">
      <w:pPr>
        <w:pStyle w:val="27"/>
        <w:numPr>
          <w:ilvl w:val="0"/>
          <w:numId w:val="2"/>
        </w:numPr>
        <w:spacing w:line="600" w:lineRule="exact"/>
        <w:ind w:firstLineChars="0"/>
        <w:outlineLvl w:val="1"/>
        <w:rPr>
          <w:rStyle w:val="18"/>
          <w:rFonts w:ascii="黑体" w:hAnsi="黑体" w:eastAsia="黑体"/>
          <w:b w:val="0"/>
        </w:rPr>
      </w:pPr>
      <w:bookmarkStart w:id="17" w:name="_Toc15377206"/>
      <w:bookmarkStart w:id="18" w:name="_Toc10586"/>
      <w:bookmarkStart w:id="19" w:name="_Toc14993"/>
      <w:bookmarkStart w:id="20" w:name="_Toc15396604"/>
      <w:r>
        <w:rPr>
          <w:rFonts w:hint="eastAsia" w:ascii="黑体" w:hAnsi="黑体" w:eastAsia="黑体"/>
          <w:sz w:val="32"/>
          <w:szCs w:val="32"/>
        </w:rPr>
        <w:t>收</w:t>
      </w:r>
      <w:r>
        <w:rPr>
          <w:rStyle w:val="18"/>
          <w:rFonts w:hint="eastAsia" w:ascii="黑体" w:hAnsi="黑体" w:eastAsia="黑体"/>
          <w:b w:val="0"/>
        </w:rPr>
        <w:t>入决算情况说明</w:t>
      </w:r>
      <w:bookmarkEnd w:id="17"/>
      <w:bookmarkEnd w:id="18"/>
      <w:bookmarkEnd w:id="19"/>
      <w:bookmarkEnd w:id="20"/>
    </w:p>
    <w:p w14:paraId="48331841">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2023年度</w:t>
      </w:r>
      <w:r>
        <w:rPr>
          <w:rFonts w:hint="eastAsia" w:ascii="仿宋" w:hAnsi="仿宋" w:eastAsia="仿宋"/>
          <w:sz w:val="32"/>
          <w:szCs w:val="32"/>
        </w:rPr>
        <w:t>本年收入合计2432.36万元，其中：一般公共预算财政拨款收入2432.36万元，占100%。</w:t>
      </w:r>
    </w:p>
    <w:p w14:paraId="2CADA1DB">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r>
        <w:rPr>
          <w:rFonts w:hint="eastAsia" w:ascii="仿宋_GB2312" w:eastAsia="仿宋_GB2312"/>
          <w:sz w:val="32"/>
          <w:szCs w:val="32"/>
        </w:rPr>
        <w:drawing>
          <wp:anchor distT="0" distB="0" distL="114300" distR="114300" simplePos="0" relativeHeight="251661312" behindDoc="0" locked="0" layoutInCell="1" allowOverlap="1">
            <wp:simplePos x="0" y="0"/>
            <wp:positionH relativeFrom="column">
              <wp:posOffset>49530</wp:posOffset>
            </wp:positionH>
            <wp:positionV relativeFrom="paragraph">
              <wp:posOffset>99695</wp:posOffset>
            </wp:positionV>
            <wp:extent cx="5180965" cy="1998345"/>
            <wp:effectExtent l="5080" t="4445" r="14605" b="1651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528FF47">
      <w:pPr>
        <w:pStyle w:val="27"/>
        <w:numPr>
          <w:ilvl w:val="0"/>
          <w:numId w:val="2"/>
        </w:numPr>
        <w:spacing w:line="600" w:lineRule="exact"/>
        <w:ind w:firstLineChars="0"/>
        <w:outlineLvl w:val="1"/>
        <w:rPr>
          <w:rStyle w:val="18"/>
          <w:rFonts w:ascii="黑体" w:hAnsi="黑体" w:eastAsia="黑体"/>
          <w:b w:val="0"/>
        </w:rPr>
      </w:pPr>
      <w:bookmarkStart w:id="21" w:name="_Toc15377207"/>
      <w:bookmarkStart w:id="22" w:name="_Toc21645"/>
      <w:bookmarkStart w:id="23" w:name="_Toc2045"/>
      <w:bookmarkStart w:id="24" w:name="_Toc15396605"/>
      <w:r>
        <w:rPr>
          <w:rFonts w:hint="eastAsia" w:ascii="黑体" w:hAnsi="黑体" w:eastAsia="黑体"/>
          <w:sz w:val="32"/>
          <w:szCs w:val="32"/>
        </w:rPr>
        <w:t>支</w:t>
      </w:r>
      <w:r>
        <w:rPr>
          <w:rStyle w:val="18"/>
          <w:rFonts w:hint="eastAsia" w:ascii="黑体" w:hAnsi="黑体" w:eastAsia="黑体"/>
          <w:b w:val="0"/>
        </w:rPr>
        <w:t>出决算情况说明</w:t>
      </w:r>
      <w:bookmarkEnd w:id="21"/>
      <w:bookmarkEnd w:id="22"/>
      <w:bookmarkEnd w:id="23"/>
      <w:bookmarkEnd w:id="24"/>
    </w:p>
    <w:p w14:paraId="66D68E3A">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2023年度</w:t>
      </w:r>
      <w:r>
        <w:rPr>
          <w:rFonts w:hint="eastAsia" w:ascii="仿宋" w:hAnsi="仿宋" w:eastAsia="仿宋"/>
          <w:sz w:val="32"/>
          <w:szCs w:val="32"/>
        </w:rPr>
        <w:t>本年支出合计2432.36万元，其中：基本支出</w:t>
      </w:r>
      <w:r>
        <w:rPr>
          <w:rFonts w:hint="eastAsia" w:ascii="仿宋" w:hAnsi="仿宋" w:eastAsia="仿宋"/>
          <w:sz w:val="32"/>
          <w:szCs w:val="32"/>
          <w:lang w:val="en-US" w:eastAsia="zh-CN"/>
        </w:rPr>
        <w:t>2331.75</w:t>
      </w:r>
      <w:r>
        <w:rPr>
          <w:rFonts w:hint="eastAsia" w:ascii="仿宋" w:hAnsi="仿宋" w:eastAsia="仿宋"/>
          <w:sz w:val="32"/>
          <w:szCs w:val="32"/>
        </w:rPr>
        <w:t>万元，占9</w:t>
      </w:r>
      <w:r>
        <w:rPr>
          <w:rFonts w:hint="eastAsia" w:ascii="仿宋" w:hAnsi="仿宋" w:eastAsia="仿宋"/>
          <w:sz w:val="32"/>
          <w:szCs w:val="32"/>
          <w:lang w:val="en-US" w:eastAsia="zh-CN"/>
        </w:rPr>
        <w:t>6</w:t>
      </w:r>
      <w:r>
        <w:rPr>
          <w:rFonts w:hint="eastAsia" w:ascii="仿宋" w:hAnsi="仿宋" w:eastAsia="仿宋"/>
          <w:sz w:val="32"/>
          <w:szCs w:val="32"/>
        </w:rPr>
        <w:t>%；项目支出</w:t>
      </w:r>
      <w:r>
        <w:rPr>
          <w:rFonts w:hint="eastAsia" w:ascii="仿宋" w:hAnsi="仿宋" w:eastAsia="仿宋"/>
          <w:sz w:val="32"/>
          <w:szCs w:val="32"/>
          <w:lang w:val="en-US" w:eastAsia="zh-CN"/>
        </w:rPr>
        <w:t>100.61</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hint="eastAsia" w:ascii="仿宋" w:hAnsi="仿宋" w:eastAsia="仿宋"/>
          <w:sz w:val="32"/>
          <w:szCs w:val="32"/>
        </w:rPr>
        <w:t>%。</w:t>
      </w:r>
    </w:p>
    <w:p w14:paraId="273E08AA">
      <w:pPr>
        <w:spacing w:line="60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71120</wp:posOffset>
            </wp:positionV>
            <wp:extent cx="4666615" cy="2303145"/>
            <wp:effectExtent l="4445" t="5080" r="15240"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4136248">
      <w:pPr>
        <w:spacing w:line="600" w:lineRule="exact"/>
        <w:ind w:firstLine="640" w:firstLineChars="200"/>
        <w:rPr>
          <w:rFonts w:ascii="仿宋_GB2312" w:eastAsia="仿宋_GB2312"/>
          <w:sz w:val="32"/>
          <w:szCs w:val="32"/>
        </w:rPr>
      </w:pPr>
    </w:p>
    <w:p w14:paraId="42457630">
      <w:pPr>
        <w:spacing w:line="600" w:lineRule="exact"/>
        <w:ind w:firstLine="640" w:firstLineChars="200"/>
        <w:rPr>
          <w:rFonts w:ascii="仿宋_GB2312" w:eastAsia="仿宋_GB2312"/>
          <w:sz w:val="32"/>
          <w:szCs w:val="32"/>
        </w:rPr>
      </w:pPr>
    </w:p>
    <w:p w14:paraId="32E95CFC">
      <w:pPr>
        <w:spacing w:line="600" w:lineRule="exact"/>
        <w:ind w:firstLine="640" w:firstLineChars="200"/>
        <w:rPr>
          <w:rFonts w:ascii="仿宋_GB2312" w:eastAsia="仿宋_GB2312"/>
          <w:sz w:val="32"/>
          <w:szCs w:val="32"/>
        </w:rPr>
      </w:pPr>
    </w:p>
    <w:p w14:paraId="3DF561AD">
      <w:pPr>
        <w:spacing w:line="600" w:lineRule="exact"/>
        <w:ind w:firstLine="640" w:firstLineChars="200"/>
        <w:rPr>
          <w:rFonts w:ascii="仿宋_GB2312" w:eastAsia="仿宋_GB2312"/>
          <w:sz w:val="32"/>
          <w:szCs w:val="32"/>
        </w:rPr>
      </w:pPr>
    </w:p>
    <w:p w14:paraId="204D394D">
      <w:pPr>
        <w:spacing w:line="600" w:lineRule="exact"/>
        <w:ind w:firstLine="640" w:firstLineChars="200"/>
        <w:rPr>
          <w:rFonts w:ascii="仿宋_GB2312" w:eastAsia="仿宋_GB2312"/>
          <w:sz w:val="32"/>
          <w:szCs w:val="32"/>
        </w:rPr>
      </w:pPr>
    </w:p>
    <w:p w14:paraId="608CB4C4">
      <w:pPr>
        <w:spacing w:line="600" w:lineRule="exact"/>
        <w:outlineLvl w:val="9"/>
        <w:rPr>
          <w:rFonts w:ascii="黑体" w:hAnsi="黑体" w:eastAsia="黑体"/>
          <w:sz w:val="32"/>
          <w:szCs w:val="32"/>
        </w:rPr>
      </w:pPr>
      <w:bookmarkStart w:id="25" w:name="_Toc15396606"/>
      <w:bookmarkStart w:id="26" w:name="_Toc1169"/>
      <w:bookmarkStart w:id="27" w:name="_Toc15377208"/>
    </w:p>
    <w:p w14:paraId="70FF20CE">
      <w:pPr>
        <w:spacing w:line="600" w:lineRule="exact"/>
        <w:ind w:firstLine="2560" w:firstLineChars="800"/>
        <w:rPr>
          <w:rFonts w:ascii="仿宋" w:hAnsi="仿宋" w:eastAsia="仿宋"/>
          <w:sz w:val="32"/>
          <w:szCs w:val="32"/>
        </w:rPr>
      </w:pPr>
      <w:r>
        <w:rPr>
          <w:rFonts w:hint="eastAsia" w:ascii="仿宋" w:hAnsi="仿宋" w:eastAsia="仿宋"/>
          <w:sz w:val="32"/>
          <w:szCs w:val="32"/>
        </w:rPr>
        <w:t>（图3：支出决算结构图）</w:t>
      </w:r>
    </w:p>
    <w:p w14:paraId="52D07E40">
      <w:pPr>
        <w:spacing w:line="600" w:lineRule="exact"/>
        <w:ind w:firstLine="640" w:firstLineChars="200"/>
        <w:outlineLvl w:val="1"/>
        <w:rPr>
          <w:rStyle w:val="18"/>
          <w:rFonts w:ascii="黑体" w:hAnsi="黑体" w:eastAsia="黑体"/>
          <w:b w:val="0"/>
        </w:rPr>
      </w:pPr>
      <w:bookmarkStart w:id="28" w:name="_Toc30916"/>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25"/>
      <w:bookmarkEnd w:id="26"/>
      <w:bookmarkEnd w:id="27"/>
      <w:bookmarkEnd w:id="28"/>
    </w:p>
    <w:p w14:paraId="6FA2F519">
      <w:pPr>
        <w:spacing w:line="600" w:lineRule="exact"/>
        <w:ind w:firstLine="640" w:firstLineChars="200"/>
        <w:rPr>
          <w:rFonts w:ascii="仿宋" w:hAnsi="仿宋" w:eastAsia="仿宋"/>
          <w:b/>
          <w:sz w:val="32"/>
          <w:szCs w:val="32"/>
        </w:rPr>
      </w:pPr>
      <w:r>
        <w:rPr>
          <w:rFonts w:hint="eastAsia" w:ascii="仿宋" w:hAnsi="仿宋" w:eastAsia="仿宋"/>
          <w:sz w:val="32"/>
          <w:szCs w:val="32"/>
          <w:lang w:eastAsia="zh-CN"/>
        </w:rPr>
        <w:t>2023年</w:t>
      </w:r>
      <w:r>
        <w:rPr>
          <w:rFonts w:hint="eastAsia" w:ascii="仿宋" w:hAnsi="仿宋" w:eastAsia="仿宋"/>
          <w:sz w:val="32"/>
          <w:szCs w:val="32"/>
        </w:rPr>
        <w:t>财政拨款收、支总计</w:t>
      </w:r>
      <w:r>
        <w:rPr>
          <w:rFonts w:hint="eastAsia" w:ascii="仿宋" w:hAnsi="仿宋" w:eastAsia="仿宋"/>
          <w:sz w:val="32"/>
          <w:szCs w:val="32"/>
          <w:lang w:eastAsia="zh-CN"/>
        </w:rPr>
        <w:t>均为</w:t>
      </w:r>
      <w:r>
        <w:rPr>
          <w:rFonts w:hint="eastAsia" w:ascii="仿宋" w:hAnsi="仿宋" w:eastAsia="仿宋"/>
          <w:sz w:val="32"/>
          <w:szCs w:val="32"/>
          <w:lang w:val="en-US" w:eastAsia="zh-CN"/>
        </w:rPr>
        <w:t>2432.36</w:t>
      </w:r>
      <w:r>
        <w:rPr>
          <w:rFonts w:hint="eastAsia" w:ascii="仿宋" w:hAnsi="仿宋" w:eastAsia="仿宋"/>
          <w:sz w:val="32"/>
          <w:szCs w:val="32"/>
        </w:rPr>
        <w:t>万元。与</w:t>
      </w:r>
      <w:r>
        <w:rPr>
          <w:rFonts w:hint="eastAsia" w:ascii="仿宋" w:hAnsi="仿宋" w:eastAsia="仿宋"/>
          <w:sz w:val="32"/>
          <w:szCs w:val="32"/>
          <w:lang w:eastAsia="zh-CN"/>
        </w:rPr>
        <w:t>2022年</w:t>
      </w:r>
      <w:r>
        <w:rPr>
          <w:rFonts w:hint="eastAsia" w:ascii="仿宋" w:hAnsi="仿宋" w:eastAsia="仿宋"/>
          <w:sz w:val="32"/>
          <w:szCs w:val="32"/>
        </w:rPr>
        <w:t>相比，财政拨款收、支总计各</w:t>
      </w:r>
      <w:r>
        <w:rPr>
          <w:rFonts w:hint="eastAsia" w:ascii="仿宋" w:hAnsi="仿宋" w:eastAsia="仿宋"/>
          <w:sz w:val="32"/>
          <w:szCs w:val="32"/>
          <w:lang w:eastAsia="zh-CN"/>
        </w:rPr>
        <w:t>增加</w:t>
      </w:r>
      <w:r>
        <w:rPr>
          <w:rFonts w:hint="eastAsia" w:ascii="仿宋" w:hAnsi="仿宋" w:eastAsia="仿宋"/>
          <w:sz w:val="32"/>
          <w:szCs w:val="32"/>
          <w:lang w:val="en-US" w:eastAsia="zh-CN"/>
        </w:rPr>
        <w:t>241.13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w:t>
      </w:r>
      <w:r>
        <w:rPr>
          <w:rFonts w:hint="eastAsia" w:ascii="仿宋" w:hAnsi="仿宋" w:eastAsia="仿宋"/>
          <w:sz w:val="32"/>
          <w:szCs w:val="32"/>
        </w:rPr>
        <w:t>%。主要变动原因：</w:t>
      </w:r>
      <w:r>
        <w:rPr>
          <w:rFonts w:hint="eastAsia" w:ascii="仿宋" w:hAnsi="仿宋" w:eastAsia="仿宋"/>
          <w:sz w:val="32"/>
          <w:szCs w:val="32"/>
          <w:lang w:val="en-US" w:eastAsia="zh-CN"/>
        </w:rPr>
        <w:t>一是本年度人员较上年减少1人，人员经费和公用经费随之减少；二是代发抚恤金较上年增长325.59万元。</w:t>
      </w:r>
    </w:p>
    <w:p w14:paraId="7CC12956">
      <w:pPr>
        <w:pStyle w:val="2"/>
        <w:ind w:firstLine="0" w:firstLineChars="0"/>
        <w:jc w:val="center"/>
        <w:rPr>
          <w:rFonts w:hint="eastAsia" w:ascii="黑体" w:hAnsi="黑体" w:eastAsia="黑体"/>
          <w:sz w:val="32"/>
          <w:szCs w:val="32"/>
        </w:rPr>
      </w:pPr>
      <w:bookmarkStart w:id="29" w:name="_Toc15377209"/>
      <w:bookmarkStart w:id="30" w:name="_Toc25870"/>
      <w:bookmarkStart w:id="31" w:name="_Toc15396607"/>
      <w:r>
        <w:rPr>
          <w:rFonts w:hint="eastAsia" w:ascii="仿宋" w:hAnsi="仿宋" w:eastAsia="仿宋"/>
          <w:b/>
          <w:sz w:val="32"/>
          <w:szCs w:val="32"/>
        </w:rPr>
        <w:drawing>
          <wp:anchor distT="0" distB="0" distL="114300" distR="114300" simplePos="0" relativeHeight="251665408" behindDoc="0" locked="0" layoutInCell="1" allowOverlap="1">
            <wp:simplePos x="0" y="0"/>
            <wp:positionH relativeFrom="column">
              <wp:posOffset>254000</wp:posOffset>
            </wp:positionH>
            <wp:positionV relativeFrom="paragraph">
              <wp:posOffset>93980</wp:posOffset>
            </wp:positionV>
            <wp:extent cx="5036820" cy="2301240"/>
            <wp:effectExtent l="5080" t="4445" r="635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Cs w:val="32"/>
        </w:rPr>
        <w:t>（图4：财政拨款收、支决算总计变动情况）</w:t>
      </w:r>
    </w:p>
    <w:p w14:paraId="6D309741">
      <w:pPr>
        <w:spacing w:line="600" w:lineRule="exact"/>
        <w:ind w:firstLine="640" w:firstLineChars="200"/>
        <w:outlineLvl w:val="1"/>
        <w:rPr>
          <w:rStyle w:val="18"/>
          <w:rFonts w:ascii="黑体" w:hAnsi="黑体" w:eastAsia="黑体"/>
          <w:b w:val="0"/>
        </w:rPr>
      </w:pPr>
      <w:bookmarkStart w:id="32" w:name="_Toc13135"/>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29"/>
      <w:bookmarkEnd w:id="30"/>
      <w:bookmarkEnd w:id="31"/>
      <w:bookmarkEnd w:id="32"/>
    </w:p>
    <w:p w14:paraId="49822B2B">
      <w:pPr>
        <w:spacing w:line="600" w:lineRule="exact"/>
        <w:ind w:firstLine="643" w:firstLineChars="200"/>
        <w:outlineLvl w:val="2"/>
        <w:rPr>
          <w:rFonts w:ascii="仿宋" w:hAnsi="仿宋" w:eastAsia="仿宋"/>
          <w:b/>
          <w:sz w:val="32"/>
          <w:szCs w:val="32"/>
        </w:rPr>
      </w:pPr>
      <w:bookmarkStart w:id="33" w:name="_Toc15377210"/>
      <w:r>
        <w:rPr>
          <w:rFonts w:hint="eastAsia" w:ascii="仿宋" w:hAnsi="仿宋" w:eastAsia="仿宋"/>
          <w:b/>
          <w:sz w:val="32"/>
          <w:szCs w:val="32"/>
        </w:rPr>
        <w:t>（一）一般公共预算财政拨款支出决算总体情况</w:t>
      </w:r>
      <w:bookmarkEnd w:id="33"/>
    </w:p>
    <w:p w14:paraId="7F486881">
      <w:pPr>
        <w:spacing w:line="600" w:lineRule="exact"/>
        <w:ind w:firstLine="640" w:firstLineChars="200"/>
        <w:rPr>
          <w:rFonts w:ascii="仿宋" w:hAnsi="仿宋" w:eastAsia="仿宋"/>
          <w:b/>
          <w:sz w:val="32"/>
          <w:szCs w:val="32"/>
        </w:rPr>
      </w:pPr>
      <w:r>
        <w:rPr>
          <w:rFonts w:hint="eastAsia" w:ascii="仿宋" w:hAnsi="仿宋" w:eastAsia="仿宋"/>
          <w:sz w:val="32"/>
          <w:szCs w:val="32"/>
          <w:lang w:eastAsia="zh-CN"/>
        </w:rPr>
        <w:t>2023年度</w:t>
      </w:r>
      <w:r>
        <w:rPr>
          <w:rFonts w:hint="eastAsia" w:ascii="仿宋" w:hAnsi="仿宋" w:eastAsia="仿宋"/>
          <w:sz w:val="32"/>
          <w:szCs w:val="32"/>
        </w:rPr>
        <w:t>一般公共预算财政拨款支出</w:t>
      </w:r>
      <w:r>
        <w:rPr>
          <w:rFonts w:hint="eastAsia" w:ascii="仿宋" w:hAnsi="仿宋" w:eastAsia="仿宋"/>
          <w:sz w:val="32"/>
          <w:szCs w:val="32"/>
          <w:lang w:val="en-US" w:eastAsia="zh-CN"/>
        </w:rPr>
        <w:t>2432.36</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hint="eastAsia" w:ascii="仿宋" w:hAnsi="仿宋" w:eastAsia="仿宋"/>
          <w:sz w:val="32"/>
          <w:szCs w:val="32"/>
          <w:lang w:eastAsia="zh-CN"/>
        </w:rPr>
        <w:t>2022年</w:t>
      </w:r>
      <w:r>
        <w:rPr>
          <w:rFonts w:hint="eastAsia" w:ascii="仿宋" w:hAnsi="仿宋" w:eastAsia="仿宋"/>
          <w:sz w:val="32"/>
          <w:szCs w:val="32"/>
        </w:rPr>
        <w:t>相比，一般公共预算财政拨款支出</w:t>
      </w:r>
      <w:r>
        <w:rPr>
          <w:rFonts w:hint="eastAsia" w:ascii="仿宋" w:hAnsi="仿宋" w:eastAsia="仿宋"/>
          <w:sz w:val="32"/>
          <w:szCs w:val="32"/>
          <w:lang w:eastAsia="zh-CN"/>
        </w:rPr>
        <w:t>增加</w:t>
      </w:r>
      <w:r>
        <w:rPr>
          <w:rFonts w:hint="eastAsia" w:ascii="仿宋" w:hAnsi="仿宋" w:eastAsia="仿宋"/>
          <w:sz w:val="32"/>
          <w:szCs w:val="32"/>
          <w:lang w:val="en-US" w:eastAsia="zh-CN"/>
        </w:rPr>
        <w:t>241.13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w:t>
      </w:r>
      <w:r>
        <w:rPr>
          <w:rFonts w:ascii="仿宋" w:hAnsi="仿宋" w:eastAsia="仿宋"/>
          <w:sz w:val="32"/>
          <w:szCs w:val="32"/>
        </w:rPr>
        <w:t>%</w:t>
      </w:r>
      <w:r>
        <w:rPr>
          <w:rFonts w:hint="eastAsia" w:ascii="仿宋" w:hAnsi="仿宋" w:eastAsia="仿宋"/>
          <w:sz w:val="32"/>
          <w:szCs w:val="32"/>
          <w:lang w:val="en-US" w:eastAsia="zh-CN"/>
        </w:rPr>
        <w:t>。主要变动原因：一是本年度人员较上年减少1人，人员经费和公用经费随之减少；二是代发抚恤金较上年增长325.59万元。</w:t>
      </w:r>
    </w:p>
    <w:p w14:paraId="6260FF3E">
      <w:pPr>
        <w:pStyle w:val="2"/>
        <w:ind w:left="0" w:leftChars="0" w:firstLine="0" w:firstLineChars="0"/>
      </w:pPr>
      <w:r>
        <w:rPr>
          <w:rFonts w:hint="eastAsia" w:ascii="仿宋" w:hAnsi="仿宋" w:eastAsia="仿宋"/>
          <w:szCs w:val="32"/>
        </w:rPr>
        <w:drawing>
          <wp:anchor distT="0" distB="0" distL="114300" distR="114300" simplePos="0" relativeHeight="251666432" behindDoc="0" locked="0" layoutInCell="1" allowOverlap="1">
            <wp:simplePos x="0" y="0"/>
            <wp:positionH relativeFrom="column">
              <wp:posOffset>336550</wp:posOffset>
            </wp:positionH>
            <wp:positionV relativeFrom="paragraph">
              <wp:posOffset>316865</wp:posOffset>
            </wp:positionV>
            <wp:extent cx="4845685" cy="1952625"/>
            <wp:effectExtent l="4445" t="4445" r="7620"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66B5A17">
      <w:pPr>
        <w:pStyle w:val="2"/>
        <w:ind w:firstLine="640"/>
        <w:rPr>
          <w:rFonts w:ascii="仿宋" w:hAnsi="仿宋" w:eastAsia="仿宋"/>
          <w:szCs w:val="32"/>
        </w:rPr>
      </w:pPr>
      <w:r>
        <w:rPr>
          <w:rFonts w:hint="eastAsia" w:ascii="仿宋" w:hAnsi="仿宋" w:eastAsia="仿宋"/>
          <w:szCs w:val="32"/>
        </w:rPr>
        <w:t>（图5：一般公共预算财政拨款支出决算变动情况）</w:t>
      </w:r>
    </w:p>
    <w:p w14:paraId="01D84C5E">
      <w:pPr>
        <w:spacing w:line="600" w:lineRule="exact"/>
        <w:ind w:firstLine="643" w:firstLineChars="200"/>
        <w:outlineLvl w:val="2"/>
        <w:rPr>
          <w:rFonts w:ascii="仿宋" w:hAnsi="仿宋" w:eastAsia="仿宋"/>
          <w:b/>
          <w:sz w:val="32"/>
          <w:szCs w:val="32"/>
        </w:rPr>
      </w:pPr>
      <w:bookmarkStart w:id="34" w:name="_Toc15377211"/>
      <w:r>
        <w:rPr>
          <w:rFonts w:hint="eastAsia" w:ascii="仿宋" w:hAnsi="仿宋" w:eastAsia="仿宋"/>
          <w:b/>
          <w:sz w:val="32"/>
          <w:szCs w:val="32"/>
        </w:rPr>
        <w:t>（二）一般公共预算财政拨款支出决算结构情况</w:t>
      </w:r>
      <w:bookmarkEnd w:id="34"/>
    </w:p>
    <w:p w14:paraId="7115F783">
      <w:pPr>
        <w:spacing w:line="600" w:lineRule="exact"/>
        <w:ind w:firstLine="640"/>
        <w:rPr>
          <w:rFonts w:ascii="仿宋" w:hAnsi="仿宋" w:eastAsia="仿宋"/>
          <w:b/>
          <w:sz w:val="32"/>
          <w:szCs w:val="32"/>
        </w:rPr>
      </w:pPr>
      <w:r>
        <w:rPr>
          <w:rFonts w:hint="eastAsia" w:ascii="仿宋" w:hAnsi="仿宋" w:eastAsia="仿宋"/>
          <w:sz w:val="32"/>
          <w:szCs w:val="32"/>
          <w:lang w:eastAsia="zh-CN"/>
        </w:rPr>
        <w:t>2023年度</w:t>
      </w:r>
      <w:r>
        <w:rPr>
          <w:rFonts w:hint="eastAsia" w:ascii="仿宋" w:hAnsi="仿宋" w:eastAsia="仿宋"/>
          <w:sz w:val="32"/>
          <w:szCs w:val="32"/>
        </w:rPr>
        <w:t>一般公共预算财政拨款支出</w:t>
      </w:r>
      <w:r>
        <w:rPr>
          <w:rFonts w:hint="eastAsia" w:ascii="仿宋" w:hAnsi="仿宋" w:eastAsia="仿宋"/>
          <w:sz w:val="32"/>
          <w:szCs w:val="32"/>
          <w:lang w:val="en-US" w:eastAsia="zh-CN"/>
        </w:rPr>
        <w:t>2432.36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2294.21</w:t>
      </w:r>
      <w:r>
        <w:rPr>
          <w:rFonts w:hint="eastAsia" w:ascii="仿宋" w:hAnsi="仿宋" w:eastAsia="仿宋"/>
          <w:sz w:val="32"/>
          <w:szCs w:val="32"/>
        </w:rPr>
        <w:t>万元，占94.</w:t>
      </w:r>
      <w:r>
        <w:rPr>
          <w:rFonts w:hint="eastAsia" w:ascii="仿宋" w:hAnsi="仿宋" w:eastAsia="仿宋"/>
          <w:sz w:val="32"/>
          <w:szCs w:val="32"/>
          <w:lang w:val="en-US" w:eastAsia="zh-CN"/>
        </w:rPr>
        <w:t>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32.07</w:t>
      </w:r>
      <w:r>
        <w:rPr>
          <w:rFonts w:hint="eastAsia" w:ascii="仿宋" w:hAnsi="仿宋" w:eastAsia="仿宋"/>
          <w:sz w:val="32"/>
          <w:szCs w:val="32"/>
        </w:rPr>
        <w:t>万元，占1.</w:t>
      </w:r>
      <w:r>
        <w:rPr>
          <w:rFonts w:hint="eastAsia" w:ascii="仿宋" w:hAnsi="仿宋" w:eastAsia="仿宋"/>
          <w:sz w:val="32"/>
          <w:szCs w:val="32"/>
          <w:lang w:val="en-US" w:eastAsia="zh-CN"/>
        </w:rPr>
        <w:t>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106.07</w:t>
      </w:r>
      <w:r>
        <w:rPr>
          <w:rFonts w:hint="eastAsia" w:ascii="仿宋" w:hAnsi="仿宋" w:eastAsia="仿宋"/>
          <w:sz w:val="32"/>
          <w:szCs w:val="32"/>
        </w:rPr>
        <w:t>万元，占</w:t>
      </w:r>
      <w:r>
        <w:rPr>
          <w:rFonts w:hint="eastAsia" w:ascii="仿宋" w:hAnsi="仿宋" w:eastAsia="仿宋"/>
          <w:sz w:val="32"/>
          <w:szCs w:val="32"/>
          <w:lang w:val="en-US" w:eastAsia="zh-CN"/>
        </w:rPr>
        <w:t>4.36</w:t>
      </w:r>
      <w:r>
        <w:rPr>
          <w:rFonts w:ascii="仿宋" w:hAnsi="仿宋" w:eastAsia="仿宋"/>
          <w:sz w:val="32"/>
          <w:szCs w:val="32"/>
        </w:rPr>
        <w:t>%</w:t>
      </w:r>
      <w:r>
        <w:rPr>
          <w:rFonts w:hint="eastAsia" w:ascii="仿宋" w:hAnsi="仿宋" w:eastAsia="仿宋"/>
          <w:sz w:val="32"/>
          <w:szCs w:val="32"/>
        </w:rPr>
        <w:t>。</w:t>
      </w:r>
    </w:p>
    <w:p w14:paraId="23F77B6E">
      <w:pPr>
        <w:spacing w:line="600" w:lineRule="exact"/>
        <w:ind w:firstLine="640" w:firstLineChars="200"/>
        <w:outlineLvl w:val="9"/>
        <w:rPr>
          <w:rFonts w:ascii="仿宋" w:hAnsi="仿宋" w:eastAsia="仿宋"/>
          <w:b/>
          <w:sz w:val="32"/>
          <w:szCs w:val="32"/>
        </w:rPr>
      </w:pPr>
      <w:bookmarkStart w:id="35" w:name="_Toc15377212"/>
      <w:r>
        <w:rPr>
          <w:rFonts w:hint="eastAsia" w:ascii="仿宋" w:hAnsi="仿宋" w:eastAsia="仿宋"/>
          <w:sz w:val="32"/>
          <w:szCs w:val="32"/>
        </w:rPr>
        <w:drawing>
          <wp:anchor distT="0" distB="0" distL="114300" distR="114300" simplePos="0" relativeHeight="251664384" behindDoc="0" locked="0" layoutInCell="1" allowOverlap="1">
            <wp:simplePos x="0" y="0"/>
            <wp:positionH relativeFrom="column">
              <wp:posOffset>363855</wp:posOffset>
            </wp:positionH>
            <wp:positionV relativeFrom="paragraph">
              <wp:posOffset>209550</wp:posOffset>
            </wp:positionV>
            <wp:extent cx="4058285" cy="2160270"/>
            <wp:effectExtent l="4445" t="5080" r="13970" b="635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1385EBB">
      <w:pPr>
        <w:spacing w:line="600" w:lineRule="exact"/>
        <w:outlineLvl w:val="9"/>
        <w:rPr>
          <w:rFonts w:ascii="仿宋" w:hAnsi="仿宋" w:eastAsia="仿宋"/>
          <w:b/>
          <w:sz w:val="32"/>
          <w:szCs w:val="32"/>
        </w:rPr>
      </w:pPr>
    </w:p>
    <w:p w14:paraId="234498A0">
      <w:pPr>
        <w:spacing w:line="600" w:lineRule="exact"/>
        <w:ind w:firstLine="643" w:firstLineChars="200"/>
        <w:outlineLvl w:val="9"/>
        <w:rPr>
          <w:rFonts w:ascii="仿宋" w:hAnsi="仿宋" w:eastAsia="仿宋"/>
          <w:b/>
          <w:sz w:val="32"/>
          <w:szCs w:val="32"/>
        </w:rPr>
      </w:pPr>
    </w:p>
    <w:p w14:paraId="4E98849F">
      <w:pPr>
        <w:spacing w:line="600" w:lineRule="exact"/>
        <w:ind w:firstLine="643" w:firstLineChars="200"/>
        <w:outlineLvl w:val="9"/>
        <w:rPr>
          <w:rFonts w:ascii="仿宋" w:hAnsi="仿宋" w:eastAsia="仿宋"/>
          <w:b/>
          <w:sz w:val="32"/>
          <w:szCs w:val="32"/>
        </w:rPr>
      </w:pPr>
    </w:p>
    <w:p w14:paraId="136AAA61">
      <w:pPr>
        <w:spacing w:line="600" w:lineRule="exact"/>
        <w:ind w:firstLine="643" w:firstLineChars="200"/>
        <w:outlineLvl w:val="9"/>
        <w:rPr>
          <w:rFonts w:ascii="仿宋" w:hAnsi="仿宋" w:eastAsia="仿宋"/>
          <w:b/>
          <w:sz w:val="32"/>
          <w:szCs w:val="32"/>
        </w:rPr>
      </w:pPr>
    </w:p>
    <w:p w14:paraId="59060611">
      <w:pPr>
        <w:spacing w:line="600" w:lineRule="exact"/>
        <w:ind w:firstLine="643" w:firstLineChars="200"/>
        <w:outlineLvl w:val="9"/>
        <w:rPr>
          <w:rFonts w:ascii="仿宋" w:hAnsi="仿宋" w:eastAsia="仿宋"/>
          <w:b/>
          <w:sz w:val="32"/>
          <w:szCs w:val="32"/>
        </w:rPr>
      </w:pPr>
    </w:p>
    <w:p w14:paraId="29940C6C">
      <w:pPr>
        <w:spacing w:line="600" w:lineRule="exact"/>
        <w:rPr>
          <w:rFonts w:ascii="仿宋" w:hAnsi="仿宋" w:eastAsia="仿宋"/>
          <w:sz w:val="32"/>
          <w:szCs w:val="32"/>
        </w:rPr>
      </w:pPr>
    </w:p>
    <w:p w14:paraId="14FFD3A8">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14:paraId="3F969822">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5"/>
    </w:p>
    <w:p w14:paraId="4F7E8F85">
      <w:pPr>
        <w:suppressAutoHyphens/>
        <w:bidi w:val="0"/>
        <w:spacing w:line="600" w:lineRule="exact"/>
        <w:ind w:firstLine="643" w:firstLineChars="200"/>
        <w:outlineLvl w:val="1"/>
        <w:rPr>
          <w:rFonts w:hint="eastAsia" w:ascii="仿宋_GB2312" w:hAnsi="仿宋_GB2312" w:eastAsia="仿宋_GB2312" w:cs="仿宋_GB2312"/>
          <w:b/>
          <w:color w:val="auto"/>
          <w:sz w:val="32"/>
          <w:szCs w:val="32"/>
          <w:highlight w:val="none"/>
          <w:lang w:eastAsia="zh-CN"/>
        </w:rPr>
      </w:pPr>
      <w:bookmarkStart w:id="36" w:name="_Toc15377444"/>
      <w:bookmarkStart w:id="37" w:name="_Toc15378460"/>
      <w:bookmarkStart w:id="38" w:name="_Toc1084"/>
      <w:bookmarkStart w:id="39" w:name="_Toc15377213"/>
      <w:r>
        <w:rPr>
          <w:rFonts w:hint="eastAsia" w:ascii="仿宋_GB2312" w:hAnsi="仿宋_GB2312" w:eastAsia="仿宋_GB2312" w:cs="仿宋_GB2312"/>
          <w:b/>
          <w:color w:val="auto"/>
          <w:sz w:val="32"/>
          <w:szCs w:val="32"/>
          <w:highlight w:val="none"/>
          <w:lang w:eastAsia="zh-CN"/>
        </w:rPr>
        <w:t>2023年一般公共预算支出决算数为</w:t>
      </w:r>
      <w:r>
        <w:rPr>
          <w:rFonts w:hint="eastAsia" w:ascii="仿宋_GB2312" w:hAnsi="仿宋_GB2312" w:eastAsia="仿宋_GB2312" w:cs="仿宋_GB2312"/>
          <w:b/>
          <w:color w:val="auto"/>
          <w:sz w:val="32"/>
          <w:szCs w:val="32"/>
          <w:highlight w:val="none"/>
          <w:lang w:val="en-US" w:eastAsia="zh-CN"/>
        </w:rPr>
        <w:t>2432.36</w:t>
      </w:r>
      <w:r>
        <w:rPr>
          <w:rFonts w:hint="eastAsia" w:ascii="仿宋_GB2312" w:hAnsi="仿宋_GB2312" w:eastAsia="仿宋_GB2312" w:cs="仿宋_GB2312"/>
          <w:b/>
          <w:color w:val="auto"/>
          <w:sz w:val="32"/>
          <w:szCs w:val="32"/>
          <w:highlight w:val="none"/>
          <w:lang w:eastAsia="zh-CN"/>
        </w:rPr>
        <w:t>万元，完成预算</w:t>
      </w:r>
      <w:r>
        <w:rPr>
          <w:rFonts w:hint="eastAsia" w:ascii="仿宋_GB2312" w:hAnsi="仿宋_GB2312" w:eastAsia="仿宋_GB2312" w:cs="仿宋_GB2312"/>
          <w:b/>
          <w:color w:val="auto"/>
          <w:sz w:val="32"/>
          <w:szCs w:val="32"/>
          <w:highlight w:val="none"/>
          <w:lang w:val="en-US" w:eastAsia="zh-CN"/>
        </w:rPr>
        <w:t>100</w:t>
      </w:r>
      <w:r>
        <w:rPr>
          <w:rFonts w:hint="eastAsia" w:ascii="仿宋_GB2312" w:hAnsi="仿宋_GB2312" w:eastAsia="仿宋_GB2312" w:cs="仿宋_GB2312"/>
          <w:b/>
          <w:color w:val="auto"/>
          <w:sz w:val="32"/>
          <w:szCs w:val="32"/>
          <w:highlight w:val="none"/>
          <w:lang w:eastAsia="zh-CN"/>
        </w:rPr>
        <w:t>%。其中：</w:t>
      </w:r>
      <w:bookmarkEnd w:id="36"/>
      <w:bookmarkEnd w:id="37"/>
      <w:bookmarkEnd w:id="38"/>
      <w:bookmarkEnd w:id="39"/>
    </w:p>
    <w:p w14:paraId="3FD15075">
      <w:pPr>
        <w:numPr>
          <w:ilvl w:val="0"/>
          <w:numId w:val="0"/>
        </w:numPr>
        <w:spacing w:line="600" w:lineRule="exact"/>
        <w:ind w:firstLine="643" w:firstLineChars="200"/>
        <w:rPr>
          <w:rStyle w:val="15"/>
          <w:rFonts w:hint="eastAsia" w:ascii="仿宋" w:hAnsi="仿宋" w:eastAsia="仿宋"/>
          <w:b w:val="0"/>
          <w:bCs/>
          <w:sz w:val="32"/>
          <w:szCs w:val="32"/>
          <w:lang w:eastAsia="zh-CN"/>
        </w:rPr>
      </w:pPr>
      <w:r>
        <w:rPr>
          <w:rStyle w:val="15"/>
          <w:rFonts w:hint="eastAsia" w:ascii="仿宋" w:hAnsi="仿宋" w:eastAsia="仿宋"/>
          <w:bCs/>
          <w:sz w:val="32"/>
          <w:szCs w:val="32"/>
          <w:lang w:val="en-US" w:eastAsia="zh-CN"/>
        </w:rPr>
        <w:t>1.</w:t>
      </w:r>
      <w:r>
        <w:rPr>
          <w:rStyle w:val="15"/>
          <w:rFonts w:hint="eastAsia" w:ascii="仿宋" w:hAnsi="仿宋" w:eastAsia="仿宋"/>
          <w:bCs/>
          <w:sz w:val="32"/>
          <w:szCs w:val="32"/>
        </w:rPr>
        <w:t>社会保障和就业支出（类）人力资源和社会保障管理事务（款）社会保险经办机构（项）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1732.89</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p>
    <w:p w14:paraId="43B38565">
      <w:pPr>
        <w:numPr>
          <w:ilvl w:val="0"/>
          <w:numId w:val="0"/>
        </w:numPr>
        <w:spacing w:line="600" w:lineRule="exact"/>
        <w:ind w:firstLine="643" w:firstLineChars="200"/>
        <w:rPr>
          <w:rStyle w:val="15"/>
          <w:rFonts w:ascii="仿宋" w:hAnsi="仿宋" w:eastAsia="仿宋"/>
          <w:bCs/>
          <w:sz w:val="32"/>
          <w:szCs w:val="32"/>
        </w:rPr>
      </w:pPr>
      <w:r>
        <w:rPr>
          <w:rStyle w:val="15"/>
          <w:rFonts w:hint="eastAsia" w:ascii="仿宋" w:hAnsi="仿宋" w:eastAsia="仿宋"/>
          <w:bCs/>
          <w:sz w:val="32"/>
          <w:szCs w:val="32"/>
        </w:rPr>
        <w:t>2.社会保障和就业支出（类）行政事业单位养老支出（款）机关事业单位基本养老保险缴费支出（项）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112.86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31D71300">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3.社会保障和就业支出（类）行政事业单位养老支出（款）机关事业单位职业年金缴费支出（项）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14.48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5D7F00B1">
      <w:pPr>
        <w:spacing w:line="600" w:lineRule="exact"/>
        <w:ind w:firstLine="643" w:firstLineChars="200"/>
        <w:rPr>
          <w:rStyle w:val="15"/>
          <w:rFonts w:ascii="仿宋" w:hAnsi="仿宋" w:eastAsia="仿宋"/>
          <w:bCs/>
          <w:sz w:val="32"/>
          <w:szCs w:val="32"/>
        </w:rPr>
      </w:pPr>
      <w:r>
        <w:rPr>
          <w:rStyle w:val="15"/>
          <w:rFonts w:hint="eastAsia" w:ascii="仿宋" w:hAnsi="仿宋" w:eastAsia="仿宋"/>
          <w:bCs/>
          <w:sz w:val="32"/>
          <w:szCs w:val="32"/>
        </w:rPr>
        <w:t>4.社会保障和就业支出（类）抚恤（款）死亡抚恤（项）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433.98</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18A7E693">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5.卫生健康支出</w:t>
      </w:r>
      <w:r>
        <w:rPr>
          <w:rStyle w:val="15"/>
          <w:rFonts w:hint="eastAsia" w:ascii="仿宋" w:hAnsi="仿宋" w:eastAsia="仿宋"/>
          <w:bCs/>
          <w:sz w:val="32"/>
          <w:szCs w:val="32"/>
        </w:rPr>
        <w:t>（类）行政事业单位医疗（款）事业单位医疗（项）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32.07</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162B8A51">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6.住房保障支出（类）住房改革支出（款）住房公积金（项）：</w:t>
      </w:r>
      <w:r>
        <w:rPr>
          <w:rFonts w:hint="eastAsia" w:ascii="仿宋" w:hAnsi="仿宋" w:eastAsia="仿宋"/>
          <w:sz w:val="32"/>
          <w:szCs w:val="32"/>
        </w:rPr>
        <w:t>支出决算数为</w:t>
      </w:r>
      <w:r>
        <w:rPr>
          <w:rFonts w:hint="eastAsia" w:ascii="仿宋" w:hAnsi="仿宋" w:eastAsia="仿宋"/>
          <w:sz w:val="32"/>
          <w:szCs w:val="32"/>
          <w:lang w:val="en-US" w:eastAsia="zh-CN"/>
        </w:rPr>
        <w:t>106.07</w:t>
      </w:r>
      <w:r>
        <w:rPr>
          <w:rFonts w:hint="eastAsia" w:ascii="仿宋" w:hAnsi="仿宋" w:eastAsia="仿宋"/>
          <w:sz w:val="32"/>
          <w:szCs w:val="32"/>
        </w:rPr>
        <w:t>万元，完成预算的100%。</w:t>
      </w:r>
    </w:p>
    <w:p w14:paraId="3B9ED07A">
      <w:pPr>
        <w:tabs>
          <w:tab w:val="right" w:pos="8306"/>
        </w:tabs>
        <w:spacing w:line="600" w:lineRule="exact"/>
        <w:ind w:firstLine="640"/>
        <w:outlineLvl w:val="1"/>
        <w:rPr>
          <w:rStyle w:val="18"/>
        </w:rPr>
      </w:pPr>
      <w:bookmarkStart w:id="40" w:name="_Toc15396608"/>
      <w:bookmarkStart w:id="41" w:name="_Toc23095"/>
      <w:bookmarkStart w:id="42" w:name="_Toc29358"/>
      <w:bookmarkStart w:id="4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40"/>
      <w:bookmarkEnd w:id="41"/>
      <w:bookmarkEnd w:id="42"/>
      <w:bookmarkEnd w:id="43"/>
      <w:r>
        <w:rPr>
          <w:rStyle w:val="18"/>
          <w:rFonts w:ascii="黑体" w:hAnsi="黑体" w:eastAsia="黑体"/>
          <w:b w:val="0"/>
        </w:rPr>
        <w:tab/>
      </w:r>
    </w:p>
    <w:p w14:paraId="594BA479">
      <w:pPr>
        <w:spacing w:line="600" w:lineRule="exact"/>
        <w:ind w:firstLine="645"/>
        <w:rPr>
          <w:rFonts w:ascii="仿宋" w:hAnsi="仿宋" w:eastAsia="仿宋"/>
          <w:sz w:val="32"/>
          <w:szCs w:val="32"/>
        </w:rPr>
      </w:pPr>
      <w:r>
        <w:rPr>
          <w:rFonts w:hint="eastAsia" w:ascii="仿宋" w:hAnsi="仿宋" w:eastAsia="仿宋"/>
          <w:sz w:val="32"/>
          <w:szCs w:val="32"/>
          <w:lang w:eastAsia="zh-CN"/>
        </w:rPr>
        <w:t>2023年度</w:t>
      </w:r>
      <w:r>
        <w:rPr>
          <w:rFonts w:hint="eastAsia" w:ascii="仿宋" w:hAnsi="仿宋" w:eastAsia="仿宋"/>
          <w:sz w:val="32"/>
          <w:szCs w:val="32"/>
        </w:rPr>
        <w:t>一般公共预算财政拨款基本支出</w:t>
      </w:r>
      <w:r>
        <w:rPr>
          <w:rFonts w:hint="eastAsia" w:ascii="仿宋" w:hAnsi="仿宋" w:eastAsia="仿宋"/>
          <w:sz w:val="32"/>
          <w:szCs w:val="32"/>
          <w:lang w:val="en-US" w:eastAsia="zh-CN"/>
        </w:rPr>
        <w:t>2331.75</w:t>
      </w:r>
      <w:r>
        <w:rPr>
          <w:rFonts w:hint="eastAsia" w:ascii="仿宋" w:hAnsi="仿宋" w:eastAsia="仿宋"/>
          <w:sz w:val="32"/>
          <w:szCs w:val="32"/>
        </w:rPr>
        <w:t>万元，其中：</w:t>
      </w:r>
    </w:p>
    <w:p w14:paraId="5997000E">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2153.72</w:t>
      </w:r>
      <w:r>
        <w:rPr>
          <w:rFonts w:hint="eastAsia" w:ascii="仿宋" w:hAnsi="仿宋" w:eastAsia="仿宋"/>
          <w:sz w:val="32"/>
          <w:szCs w:val="32"/>
        </w:rPr>
        <w:t>万元，主要包括：基本工资、津贴补贴、奖金、机关事业单位基本养老保险缴费、职业年金缴费、职工基本医疗保险缴费、其他社会保障缴费、住房公积金、抚恤金、生活补助等。</w:t>
      </w:r>
    </w:p>
    <w:p w14:paraId="1A5066EE">
      <w:pPr>
        <w:spacing w:line="600" w:lineRule="exact"/>
        <w:ind w:firstLine="640" w:firstLineChars="200"/>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178.03</w:t>
      </w:r>
      <w:r>
        <w:rPr>
          <w:rFonts w:hint="eastAsia" w:ascii="仿宋" w:hAnsi="仿宋" w:eastAsia="仿宋"/>
          <w:sz w:val="32"/>
          <w:szCs w:val="32"/>
        </w:rPr>
        <w:t>万元，主要包括：办公费、印刷费、邮电费、差旅费、会议费、培训费、公务接待费、劳务费、工会经费、福利费、其他交通费用、其他商品和服务支出</w:t>
      </w:r>
      <w:r>
        <w:rPr>
          <w:rFonts w:hint="eastAsia" w:ascii="仿宋" w:hAnsi="仿宋" w:eastAsia="仿宋"/>
          <w:sz w:val="32"/>
          <w:szCs w:val="32"/>
          <w:lang w:eastAsia="zh-CN"/>
        </w:rPr>
        <w:t>等</w:t>
      </w:r>
      <w:r>
        <w:rPr>
          <w:rFonts w:hint="eastAsia" w:ascii="仿宋" w:hAnsi="仿宋" w:eastAsia="仿宋"/>
          <w:sz w:val="32"/>
          <w:szCs w:val="32"/>
        </w:rPr>
        <w:t>。</w:t>
      </w:r>
    </w:p>
    <w:p w14:paraId="4D67D88B">
      <w:pPr>
        <w:spacing w:line="600" w:lineRule="exact"/>
        <w:ind w:firstLine="640"/>
        <w:outlineLvl w:val="1"/>
        <w:rPr>
          <w:rStyle w:val="18"/>
          <w:rFonts w:ascii="黑体" w:hAnsi="黑体" w:eastAsia="黑体"/>
          <w:b w:val="0"/>
        </w:rPr>
      </w:pPr>
      <w:bookmarkStart w:id="44" w:name="_Toc15396609"/>
      <w:bookmarkStart w:id="45" w:name="_Toc31354"/>
      <w:bookmarkStart w:id="46" w:name="_Toc15377215"/>
      <w:bookmarkStart w:id="47" w:name="_Toc24245"/>
      <w:r>
        <w:rPr>
          <w:rFonts w:hint="eastAsia" w:ascii="黑体" w:eastAsia="黑体"/>
          <w:sz w:val="32"/>
          <w:szCs w:val="32"/>
        </w:rPr>
        <w:t>七、</w:t>
      </w:r>
      <w:r>
        <w:rPr>
          <w:rStyle w:val="18"/>
          <w:rFonts w:hint="eastAsia" w:ascii="黑体" w:hAnsi="黑体" w:eastAsia="黑体"/>
          <w:b w:val="0"/>
        </w:rPr>
        <w:t>财政拨款</w:t>
      </w:r>
      <w:r>
        <w:rPr>
          <w:rStyle w:val="18"/>
          <w:rFonts w:hint="eastAsia" w:ascii="黑体" w:hAnsi="黑体" w:eastAsia="黑体"/>
        </w:rPr>
        <w:t>“</w:t>
      </w:r>
      <w:r>
        <w:rPr>
          <w:rStyle w:val="18"/>
          <w:rFonts w:hint="eastAsia" w:ascii="黑体" w:hAnsi="黑体" w:eastAsia="黑体"/>
          <w:b w:val="0"/>
        </w:rPr>
        <w:t>三公”经费支出决算情况说明</w:t>
      </w:r>
      <w:bookmarkEnd w:id="44"/>
      <w:bookmarkEnd w:id="45"/>
      <w:bookmarkEnd w:id="46"/>
      <w:bookmarkEnd w:id="47"/>
    </w:p>
    <w:p w14:paraId="0A4D7F9C">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14:paraId="655F93EA">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eastAsia="仿宋_GB2312"/>
          <w:sz w:val="32"/>
          <w:szCs w:val="32"/>
        </w:rPr>
      </w:pPr>
      <w:r>
        <w:rPr>
          <w:rFonts w:hint="eastAsia" w:ascii="仿宋" w:hAnsi="仿宋" w:eastAsia="仿宋"/>
          <w:sz w:val="32"/>
          <w:szCs w:val="32"/>
          <w:lang w:eastAsia="zh-CN"/>
        </w:rPr>
        <w:t>2023年度</w:t>
      </w:r>
      <w:r>
        <w:rPr>
          <w:rFonts w:hint="eastAsia" w:ascii="仿宋" w:hAnsi="仿宋" w:eastAsia="仿宋"/>
          <w:sz w:val="32"/>
          <w:szCs w:val="32"/>
        </w:rPr>
        <w:t>“三公”经费财政拨款支出决算为</w:t>
      </w:r>
      <w:r>
        <w:rPr>
          <w:rFonts w:hint="eastAsia" w:ascii="仿宋" w:hAnsi="仿宋" w:eastAsia="仿宋"/>
          <w:sz w:val="32"/>
          <w:szCs w:val="32"/>
          <w:lang w:val="en-US" w:eastAsia="zh-CN"/>
        </w:rPr>
        <w:t>0.66</w:t>
      </w:r>
      <w:r>
        <w:rPr>
          <w:rFonts w:hint="eastAsia" w:ascii="仿宋" w:hAnsi="仿宋" w:eastAsia="仿宋"/>
          <w:sz w:val="32"/>
          <w:szCs w:val="32"/>
        </w:rPr>
        <w:t>万元，完成预算</w:t>
      </w:r>
      <w:r>
        <w:rPr>
          <w:rFonts w:hint="eastAsia" w:ascii="仿宋" w:hAnsi="仿宋" w:eastAsia="仿宋"/>
          <w:sz w:val="32"/>
          <w:szCs w:val="32"/>
          <w:lang w:eastAsia="zh-CN"/>
        </w:rPr>
        <w:t>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lang w:eastAsia="zh-CN"/>
        </w:rPr>
        <w:t>。较上年增加</w:t>
      </w:r>
      <w:r>
        <w:rPr>
          <w:rFonts w:hint="eastAsia" w:ascii="仿宋" w:hAnsi="仿宋" w:eastAsia="仿宋"/>
          <w:sz w:val="32"/>
          <w:szCs w:val="32"/>
          <w:lang w:val="en-US" w:eastAsia="zh-CN"/>
        </w:rPr>
        <w:t>0.63万元，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2100</w:t>
      </w:r>
      <w:r>
        <w:rPr>
          <w:rFonts w:ascii="仿宋_GB2312" w:eastAsia="仿宋_GB2312"/>
          <w:sz w:val="32"/>
          <w:szCs w:val="32"/>
        </w:rPr>
        <w:t>%</w:t>
      </w:r>
      <w:r>
        <w:rPr>
          <w:rFonts w:hint="eastAsia" w:ascii="仿宋_GB2312" w:eastAsia="仿宋_GB2312"/>
          <w:sz w:val="32"/>
          <w:szCs w:val="32"/>
        </w:rPr>
        <w:t>。</w:t>
      </w:r>
    </w:p>
    <w:p w14:paraId="4807C74C">
      <w:pPr>
        <w:spacing w:line="600" w:lineRule="exact"/>
        <w:ind w:firstLine="640"/>
        <w:rPr>
          <w:rFonts w:hint="eastAsia" w:ascii="仿宋" w:hAnsi="仿宋" w:eastAsia="仿宋"/>
          <w:b/>
          <w:sz w:val="32"/>
          <w:szCs w:val="32"/>
          <w:lang w:eastAsia="zh-CN"/>
        </w:rPr>
      </w:pPr>
    </w:p>
    <w:p w14:paraId="0EC2A6EF">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14:paraId="3225476A">
      <w:pPr>
        <w:spacing w:line="600" w:lineRule="exact"/>
        <w:ind w:firstLine="640"/>
        <w:rPr>
          <w:rFonts w:ascii="仿宋" w:hAnsi="仿宋" w:eastAsia="仿宋"/>
          <w:sz w:val="32"/>
          <w:szCs w:val="32"/>
        </w:rPr>
      </w:pPr>
      <w:r>
        <w:rPr>
          <w:rFonts w:hint="eastAsia" w:ascii="仿宋" w:hAnsi="仿宋" w:eastAsia="仿宋"/>
          <w:sz w:val="32"/>
          <w:szCs w:val="32"/>
          <w:lang w:eastAsia="zh-CN"/>
        </w:rPr>
        <w:t>2023年度</w:t>
      </w:r>
      <w:r>
        <w:rPr>
          <w:rFonts w:hint="eastAsia" w:ascii="仿宋" w:hAnsi="仿宋" w:eastAsia="仿宋"/>
          <w:sz w:val="32"/>
          <w:szCs w:val="32"/>
        </w:rPr>
        <w:t>“三公”经费财政拨款支出决算中，因公出国（境）费支出决算0万元，占0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w:t>
      </w:r>
      <w:r>
        <w:rPr>
          <w:rFonts w:hint="eastAsia" w:ascii="仿宋" w:hAnsi="仿宋" w:eastAsia="仿宋"/>
          <w:sz w:val="32"/>
          <w:szCs w:val="32"/>
          <w:lang w:val="en-US" w:eastAsia="zh-CN"/>
        </w:rPr>
        <w:t>66</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。具体情况如下：</w:t>
      </w:r>
    </w:p>
    <w:p w14:paraId="3E657FF2">
      <w:pPr>
        <w:pStyle w:val="2"/>
        <w:ind w:firstLine="640"/>
        <w:rPr>
          <w:rFonts w:ascii="仿宋" w:hAnsi="仿宋" w:eastAsia="仿宋"/>
          <w:szCs w:val="32"/>
        </w:rPr>
      </w:pPr>
      <w:r>
        <w:rPr>
          <w:rFonts w:hint="eastAsia" w:ascii="仿宋" w:hAnsi="仿宋" w:eastAsia="仿宋"/>
          <w:szCs w:val="32"/>
        </w:rPr>
        <w:drawing>
          <wp:anchor distT="0" distB="0" distL="114300" distR="114300" simplePos="0" relativeHeight="251663360" behindDoc="0" locked="0" layoutInCell="1" allowOverlap="1">
            <wp:simplePos x="0" y="0"/>
            <wp:positionH relativeFrom="column">
              <wp:posOffset>325120</wp:posOffset>
            </wp:positionH>
            <wp:positionV relativeFrom="paragraph">
              <wp:posOffset>208915</wp:posOffset>
            </wp:positionV>
            <wp:extent cx="4323080" cy="2778760"/>
            <wp:effectExtent l="4445" t="4445" r="15875" b="171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26946EC">
      <w:pPr>
        <w:pStyle w:val="2"/>
        <w:ind w:firstLine="640"/>
        <w:rPr>
          <w:rFonts w:ascii="仿宋" w:hAnsi="仿宋" w:eastAsia="仿宋"/>
          <w:szCs w:val="32"/>
        </w:rPr>
      </w:pPr>
    </w:p>
    <w:p w14:paraId="41CCCAA9">
      <w:pPr>
        <w:pStyle w:val="2"/>
        <w:ind w:firstLine="640"/>
        <w:rPr>
          <w:rFonts w:ascii="仿宋" w:hAnsi="仿宋" w:eastAsia="仿宋"/>
          <w:szCs w:val="32"/>
        </w:rPr>
      </w:pPr>
    </w:p>
    <w:p w14:paraId="370F5A89">
      <w:pPr>
        <w:pStyle w:val="2"/>
        <w:ind w:firstLine="640"/>
        <w:rPr>
          <w:rFonts w:ascii="仿宋" w:hAnsi="仿宋" w:eastAsia="仿宋"/>
          <w:szCs w:val="32"/>
        </w:rPr>
      </w:pPr>
    </w:p>
    <w:p w14:paraId="4083A72B">
      <w:pPr>
        <w:pStyle w:val="2"/>
        <w:ind w:firstLine="640"/>
        <w:rPr>
          <w:rFonts w:ascii="仿宋" w:hAnsi="仿宋" w:eastAsia="仿宋"/>
          <w:szCs w:val="32"/>
        </w:rPr>
      </w:pPr>
    </w:p>
    <w:p w14:paraId="1FC57DE3">
      <w:pPr>
        <w:pStyle w:val="2"/>
        <w:ind w:firstLine="640"/>
        <w:rPr>
          <w:rFonts w:ascii="仿宋" w:hAnsi="仿宋" w:eastAsia="仿宋"/>
          <w:szCs w:val="32"/>
        </w:rPr>
      </w:pPr>
    </w:p>
    <w:p w14:paraId="1705C697">
      <w:pPr>
        <w:pStyle w:val="2"/>
        <w:ind w:firstLine="640"/>
        <w:rPr>
          <w:rFonts w:ascii="仿宋" w:hAnsi="仿宋" w:eastAsia="仿宋"/>
          <w:szCs w:val="32"/>
        </w:rPr>
      </w:pPr>
    </w:p>
    <w:p w14:paraId="770EB3B4">
      <w:pPr>
        <w:pStyle w:val="2"/>
        <w:ind w:firstLine="640"/>
        <w:rPr>
          <w:rFonts w:ascii="仿宋" w:hAnsi="仿宋" w:eastAsia="仿宋"/>
          <w:szCs w:val="32"/>
        </w:rPr>
      </w:pPr>
    </w:p>
    <w:p w14:paraId="2BB3D9EB">
      <w:pPr>
        <w:pStyle w:val="2"/>
        <w:ind w:firstLine="643"/>
        <w:rPr>
          <w:rFonts w:ascii="仿宋" w:hAnsi="仿宋" w:eastAsia="仿宋"/>
          <w:b/>
          <w:bCs/>
          <w:szCs w:val="32"/>
        </w:rPr>
      </w:pPr>
    </w:p>
    <w:p w14:paraId="215E52FE">
      <w:pPr>
        <w:spacing w:line="600" w:lineRule="exact"/>
        <w:ind w:firstLine="640"/>
        <w:jc w:val="center"/>
        <w:rPr>
          <w:rFonts w:ascii="仿宋_GB2312" w:eastAsia="仿宋_GB2312"/>
          <w:b/>
          <w:sz w:val="32"/>
          <w:szCs w:val="32"/>
        </w:rPr>
      </w:pPr>
      <w:r>
        <w:rPr>
          <w:rFonts w:hint="eastAsia" w:ascii="仿宋" w:hAnsi="仿宋" w:eastAsia="仿宋"/>
          <w:sz w:val="32"/>
          <w:szCs w:val="32"/>
        </w:rPr>
        <w:t>（图7：“三公”经费财政拨款支出结构）</w:t>
      </w:r>
    </w:p>
    <w:p w14:paraId="473D3AF6">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因公出国（境）经费支出0万元，年初未安排预算</w:t>
      </w:r>
      <w:r>
        <w:rPr>
          <w:rFonts w:ascii="仿宋_GB2312" w:eastAsia="仿宋_GB2312"/>
          <w:b/>
          <w:sz w:val="32"/>
          <w:szCs w:val="32"/>
        </w:rPr>
        <w:t>,较上年无变化</w:t>
      </w:r>
      <w:r>
        <w:rPr>
          <w:rFonts w:hint="eastAsia" w:ascii="仿宋_GB2312" w:eastAsia="仿宋_GB2312"/>
          <w:b/>
          <w:sz w:val="32"/>
          <w:szCs w:val="32"/>
        </w:rPr>
        <w:t>。</w:t>
      </w:r>
    </w:p>
    <w:p w14:paraId="25D5E31E">
      <w:pPr>
        <w:widowControl/>
        <w:spacing w:line="600" w:lineRule="exact"/>
        <w:ind w:firstLine="643" w:firstLineChars="200"/>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年初未安排预算</w:t>
      </w:r>
      <w:r>
        <w:rPr>
          <w:rStyle w:val="15"/>
          <w:rFonts w:ascii="仿宋" w:hAnsi="仿宋" w:eastAsia="仿宋"/>
          <w:b w:val="0"/>
          <w:bCs/>
          <w:sz w:val="32"/>
          <w:szCs w:val="32"/>
        </w:rPr>
        <w:t>，较上年无变化，</w:t>
      </w:r>
      <w:r>
        <w:rPr>
          <w:rFonts w:hint="eastAsia" w:ascii="仿宋_GB2312" w:eastAsia="仿宋_GB2312" w:cs="仿宋_GB2312"/>
          <w:color w:val="000000"/>
          <w:kern w:val="0"/>
          <w:sz w:val="32"/>
          <w:szCs w:val="32"/>
          <w:lang w:eastAsia="zh-CN"/>
        </w:rPr>
        <w:t>2023年</w:t>
      </w:r>
      <w:r>
        <w:rPr>
          <w:rFonts w:ascii="仿宋_GB2312" w:eastAsia="仿宋_GB2312" w:cs="仿宋_GB2312"/>
          <w:color w:val="000000"/>
          <w:kern w:val="0"/>
          <w:sz w:val="32"/>
          <w:szCs w:val="32"/>
        </w:rPr>
        <w:t>12月底，单位共有公务用车0辆</w:t>
      </w:r>
      <w:r>
        <w:rPr>
          <w:rStyle w:val="15"/>
          <w:rFonts w:hint="eastAsia" w:ascii="仿宋" w:hAnsi="仿宋" w:eastAsia="仿宋"/>
          <w:b w:val="0"/>
          <w:bCs/>
          <w:sz w:val="32"/>
          <w:szCs w:val="32"/>
        </w:rPr>
        <w:t>。</w:t>
      </w:r>
    </w:p>
    <w:p w14:paraId="4EEF68C9">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公务接待费支出0.</w:t>
      </w:r>
      <w:r>
        <w:rPr>
          <w:rFonts w:hint="eastAsia" w:ascii="仿宋_GB2312" w:eastAsia="仿宋_GB2312"/>
          <w:b/>
          <w:sz w:val="32"/>
          <w:szCs w:val="32"/>
          <w:lang w:val="en-US" w:eastAsia="zh-CN"/>
        </w:rPr>
        <w:t>66</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hint="eastAsia" w:ascii="仿宋_GB2312" w:eastAsia="仿宋_GB2312"/>
          <w:sz w:val="32"/>
          <w:szCs w:val="32"/>
          <w:lang w:eastAsia="zh-CN"/>
        </w:rPr>
        <w:t>2022年度增加</w:t>
      </w:r>
      <w:r>
        <w:rPr>
          <w:rFonts w:hint="eastAsia" w:ascii="仿宋_GB2312" w:eastAsia="仿宋_GB2312"/>
          <w:sz w:val="32"/>
          <w:szCs w:val="32"/>
          <w:lang w:val="en-US" w:eastAsia="zh-CN"/>
        </w:rPr>
        <w:t>0.63</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2100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lang w:val="en-US" w:eastAsia="zh-CN"/>
        </w:rPr>
        <w:t>2023年疫情政策放开，公务接待活动逐渐恢复，公务接待费用同步增加。</w:t>
      </w:r>
      <w:r>
        <w:rPr>
          <w:rFonts w:hint="eastAsia" w:ascii="仿宋_GB2312" w:eastAsia="仿宋_GB2312"/>
          <w:sz w:val="32"/>
          <w:szCs w:val="32"/>
        </w:rPr>
        <w:t>其中：</w:t>
      </w:r>
    </w:p>
    <w:p w14:paraId="444D2839">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 w:hAnsi="仿宋" w:eastAsia="仿宋"/>
          <w:sz w:val="32"/>
          <w:szCs w:val="32"/>
          <w:lang w:val="en-US" w:eastAsia="zh-CN"/>
        </w:rPr>
        <w:t>66</w:t>
      </w:r>
      <w:r>
        <w:rPr>
          <w:rFonts w:hint="eastAsia" w:ascii="仿宋_GB2312" w:eastAsia="仿宋_GB2312"/>
          <w:sz w:val="32"/>
          <w:szCs w:val="32"/>
        </w:rPr>
        <w:t>万元，主要用于</w:t>
      </w:r>
      <w:r>
        <w:rPr>
          <w:rFonts w:hint="eastAsia" w:ascii="仿宋_GB2312" w:eastAsia="仿宋_GB2312"/>
          <w:sz w:val="32"/>
          <w:szCs w:val="32"/>
          <w:lang w:eastAsia="zh-CN"/>
        </w:rPr>
        <w:t>省社保局、</w:t>
      </w:r>
      <w:r>
        <w:rPr>
          <w:rFonts w:hint="eastAsia" w:ascii="仿宋_GB2312" w:eastAsia="仿宋_GB2312"/>
          <w:sz w:val="32"/>
          <w:szCs w:val="32"/>
        </w:rPr>
        <w:t>绵阳市</w:t>
      </w:r>
      <w:r>
        <w:rPr>
          <w:rFonts w:hint="eastAsia" w:ascii="仿宋_GB2312" w:eastAsia="仿宋_GB2312"/>
          <w:sz w:val="32"/>
          <w:szCs w:val="32"/>
          <w:lang w:eastAsia="zh-CN"/>
        </w:rPr>
        <w:t>社</w:t>
      </w:r>
      <w:r>
        <w:rPr>
          <w:rFonts w:hint="eastAsia" w:ascii="仿宋_GB2312" w:eastAsia="仿宋_GB2312"/>
          <w:sz w:val="32"/>
          <w:szCs w:val="32"/>
        </w:rPr>
        <w:t>保</w:t>
      </w:r>
      <w:r>
        <w:rPr>
          <w:rFonts w:hint="eastAsia" w:ascii="仿宋_GB2312" w:eastAsia="仿宋_GB2312"/>
          <w:sz w:val="32"/>
          <w:szCs w:val="32"/>
          <w:lang w:eastAsia="zh-CN"/>
        </w:rPr>
        <w:t>中心等单位</w:t>
      </w:r>
      <w:r>
        <w:rPr>
          <w:rFonts w:hint="eastAsia" w:ascii="仿宋_GB2312" w:eastAsia="仿宋_GB2312"/>
          <w:sz w:val="32"/>
          <w:szCs w:val="32"/>
        </w:rPr>
        <w:t>开展</w:t>
      </w:r>
      <w:r>
        <w:rPr>
          <w:rFonts w:hint="eastAsia" w:ascii="仿宋_GB2312" w:eastAsia="仿宋_GB2312"/>
          <w:sz w:val="32"/>
          <w:szCs w:val="32"/>
          <w:lang w:eastAsia="zh-CN"/>
        </w:rPr>
        <w:t>社保公共服务标准化建设</w:t>
      </w:r>
      <w:r>
        <w:rPr>
          <w:rFonts w:hint="eastAsia" w:ascii="仿宋_GB2312" w:eastAsia="仿宋_GB2312"/>
          <w:sz w:val="32"/>
          <w:szCs w:val="32"/>
        </w:rPr>
        <w:t>交流学习</w:t>
      </w:r>
      <w:r>
        <w:rPr>
          <w:rFonts w:hint="eastAsia" w:ascii="仿宋_GB2312" w:eastAsia="仿宋_GB2312"/>
          <w:sz w:val="32"/>
          <w:szCs w:val="32"/>
          <w:lang w:eastAsia="zh-CN"/>
        </w:rPr>
        <w:t>业余活动开支的</w:t>
      </w:r>
      <w:r>
        <w:rPr>
          <w:rFonts w:hint="eastAsia" w:ascii="仿宋_GB2312" w:eastAsia="仿宋_GB2312"/>
          <w:sz w:val="32"/>
          <w:szCs w:val="32"/>
        </w:rPr>
        <w:t>用餐费。国内公务接待</w:t>
      </w:r>
      <w:r>
        <w:rPr>
          <w:rFonts w:hint="eastAsia" w:ascii="仿宋_GB2312" w:eastAsia="仿宋_GB2312"/>
          <w:sz w:val="32"/>
          <w:szCs w:val="32"/>
          <w:lang w:val="en-US" w:eastAsia="zh-CN"/>
        </w:rPr>
        <w:t>7</w:t>
      </w:r>
      <w:r>
        <w:rPr>
          <w:rFonts w:hint="eastAsia" w:ascii="仿宋_GB2312" w:eastAsia="仿宋_GB2312"/>
          <w:sz w:val="32"/>
          <w:szCs w:val="32"/>
          <w:lang w:eastAsia="zh-CN"/>
        </w:rPr>
        <w:t>批次，</w:t>
      </w:r>
      <w:r>
        <w:rPr>
          <w:rFonts w:hint="eastAsia" w:ascii="仿宋_GB2312" w:eastAsia="仿宋_GB2312"/>
          <w:sz w:val="32"/>
          <w:szCs w:val="32"/>
          <w:lang w:val="en-US" w:eastAsia="zh-CN"/>
        </w:rPr>
        <w:t>65</w:t>
      </w:r>
      <w:r>
        <w:rPr>
          <w:rFonts w:hint="eastAsia" w:ascii="仿宋_GB2312" w:eastAsia="仿宋_GB2312"/>
          <w:sz w:val="32"/>
          <w:szCs w:val="32"/>
          <w:lang w:eastAsia="zh-CN"/>
        </w:rPr>
        <w:t>人次（不</w:t>
      </w:r>
      <w:r>
        <w:rPr>
          <w:rFonts w:hint="eastAsia" w:ascii="仿宋_GB2312" w:eastAsia="仿宋_GB2312"/>
          <w:sz w:val="32"/>
          <w:szCs w:val="32"/>
        </w:rPr>
        <w:t>包括陪同人员），共计支出0.</w:t>
      </w:r>
      <w:r>
        <w:rPr>
          <w:rFonts w:hint="eastAsia" w:ascii="仿宋_GB2312" w:eastAsia="仿宋_GB2312"/>
          <w:sz w:val="32"/>
          <w:szCs w:val="32"/>
          <w:lang w:val="en-US" w:eastAsia="zh-CN"/>
        </w:rPr>
        <w:t>66</w:t>
      </w:r>
      <w:r>
        <w:rPr>
          <w:rFonts w:hint="eastAsia" w:ascii="仿宋_GB2312" w:eastAsia="仿宋_GB2312"/>
          <w:sz w:val="32"/>
          <w:szCs w:val="32"/>
        </w:rPr>
        <w:t>万元，具体内容包括：用餐费0.</w:t>
      </w:r>
      <w:r>
        <w:rPr>
          <w:rFonts w:hint="eastAsia" w:ascii="仿宋_GB2312" w:eastAsia="仿宋_GB2312"/>
          <w:sz w:val="32"/>
          <w:szCs w:val="32"/>
          <w:lang w:val="en-US" w:eastAsia="zh-CN"/>
        </w:rPr>
        <w:t>66</w:t>
      </w:r>
      <w:r>
        <w:rPr>
          <w:rFonts w:hint="eastAsia" w:ascii="仿宋_GB2312" w:eastAsia="仿宋_GB2312"/>
          <w:sz w:val="32"/>
          <w:szCs w:val="32"/>
        </w:rPr>
        <w:t>万元。</w:t>
      </w:r>
    </w:p>
    <w:p w14:paraId="2A37987C">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3DD7F2D5">
      <w:pPr>
        <w:spacing w:line="600" w:lineRule="exact"/>
        <w:ind w:firstLine="640"/>
        <w:outlineLvl w:val="1"/>
        <w:rPr>
          <w:rStyle w:val="18"/>
          <w:rFonts w:ascii="黑体" w:hAnsi="黑体" w:eastAsia="黑体"/>
        </w:rPr>
      </w:pPr>
      <w:bookmarkStart w:id="50" w:name="_Toc15396610"/>
      <w:bookmarkStart w:id="51" w:name="_Toc22337"/>
      <w:bookmarkStart w:id="52" w:name="_Toc23519"/>
      <w:bookmarkStart w:id="53" w:name="_Toc15377218"/>
      <w:r>
        <w:rPr>
          <w:rFonts w:hint="eastAsia" w:ascii="黑体" w:eastAsia="黑体"/>
          <w:sz w:val="32"/>
          <w:szCs w:val="32"/>
        </w:rPr>
        <w:t>八、</w:t>
      </w:r>
      <w:r>
        <w:rPr>
          <w:rStyle w:val="18"/>
          <w:rFonts w:hint="eastAsia" w:ascii="黑体" w:hAnsi="黑体" w:eastAsia="黑体"/>
          <w:b w:val="0"/>
        </w:rPr>
        <w:t>政府性基金预算支出决算情况说明</w:t>
      </w:r>
      <w:bookmarkEnd w:id="50"/>
      <w:bookmarkEnd w:id="51"/>
      <w:bookmarkEnd w:id="52"/>
      <w:bookmarkEnd w:id="53"/>
    </w:p>
    <w:p w14:paraId="36EF927E">
      <w:pPr>
        <w:spacing w:line="600" w:lineRule="exact"/>
        <w:ind w:firstLine="640"/>
        <w:rPr>
          <w:rFonts w:ascii="仿宋_GB2312" w:eastAsia="仿宋_GB2312"/>
          <w:sz w:val="32"/>
          <w:szCs w:val="32"/>
        </w:rPr>
      </w:pPr>
      <w:r>
        <w:rPr>
          <w:rFonts w:hint="eastAsia" w:ascii="仿宋_GB2312" w:eastAsia="仿宋_GB2312"/>
          <w:sz w:val="32"/>
          <w:szCs w:val="32"/>
          <w:lang w:eastAsia="zh-CN"/>
        </w:rPr>
        <w:t>2023年度</w:t>
      </w:r>
      <w:r>
        <w:rPr>
          <w:rFonts w:hint="eastAsia" w:ascii="仿宋_GB2312" w:eastAsia="仿宋_GB2312"/>
          <w:sz w:val="32"/>
          <w:szCs w:val="32"/>
        </w:rPr>
        <w:t>政府性基金预算财政拨款支出0万元。</w:t>
      </w:r>
    </w:p>
    <w:p w14:paraId="0347FB56">
      <w:pPr>
        <w:numPr>
          <w:ilvl w:val="0"/>
          <w:numId w:val="3"/>
        </w:numPr>
        <w:spacing w:line="600" w:lineRule="exact"/>
        <w:ind w:firstLine="640"/>
        <w:outlineLvl w:val="1"/>
        <w:rPr>
          <w:rStyle w:val="18"/>
          <w:rFonts w:ascii="黑体" w:hAnsi="黑体" w:eastAsia="黑体"/>
          <w:b w:val="0"/>
        </w:rPr>
      </w:pPr>
      <w:bookmarkStart w:id="54" w:name="_Toc4566"/>
      <w:bookmarkStart w:id="55" w:name="_Toc10917"/>
      <w:bookmarkStart w:id="56" w:name="_Toc15377219"/>
      <w:bookmarkStart w:id="57" w:name="_Toc15396611"/>
      <w:r>
        <w:rPr>
          <w:rStyle w:val="18"/>
          <w:rFonts w:hint="eastAsia" w:ascii="黑体" w:hAnsi="黑体" w:eastAsia="黑体"/>
          <w:b w:val="0"/>
        </w:rPr>
        <w:t>国有资本经营预算支出决算情况说明</w:t>
      </w:r>
      <w:bookmarkEnd w:id="54"/>
      <w:bookmarkEnd w:id="55"/>
      <w:bookmarkEnd w:id="56"/>
      <w:bookmarkEnd w:id="57"/>
    </w:p>
    <w:p w14:paraId="1A58DEED">
      <w:pPr>
        <w:spacing w:line="600" w:lineRule="exact"/>
        <w:ind w:firstLine="640"/>
        <w:rPr>
          <w:rFonts w:ascii="仿宋_GB2312" w:eastAsia="仿宋_GB2312"/>
          <w:sz w:val="32"/>
          <w:szCs w:val="32"/>
        </w:rPr>
      </w:pPr>
      <w:r>
        <w:rPr>
          <w:rFonts w:hint="eastAsia" w:ascii="仿宋_GB2312" w:eastAsia="仿宋_GB2312"/>
          <w:sz w:val="32"/>
          <w:szCs w:val="32"/>
          <w:lang w:eastAsia="zh-CN"/>
        </w:rPr>
        <w:t>2023年度</w:t>
      </w:r>
      <w:r>
        <w:rPr>
          <w:rFonts w:hint="eastAsia" w:ascii="仿宋_GB2312" w:eastAsia="仿宋_GB2312"/>
          <w:sz w:val="32"/>
          <w:szCs w:val="32"/>
        </w:rPr>
        <w:t>国有资本经营预算财政拨款支出0万元。</w:t>
      </w:r>
    </w:p>
    <w:p w14:paraId="1BACF267">
      <w:pPr>
        <w:numPr>
          <w:ilvl w:val="0"/>
          <w:numId w:val="3"/>
        </w:numPr>
        <w:spacing w:line="600" w:lineRule="exact"/>
        <w:ind w:firstLine="640"/>
        <w:outlineLvl w:val="1"/>
        <w:rPr>
          <w:rStyle w:val="18"/>
          <w:rFonts w:ascii="黑体" w:hAnsi="黑体" w:eastAsia="黑体"/>
          <w:b w:val="0"/>
        </w:rPr>
      </w:pPr>
      <w:bookmarkStart w:id="58" w:name="_Toc15377221"/>
      <w:bookmarkStart w:id="59" w:name="_Toc30965"/>
      <w:bookmarkStart w:id="60" w:name="_Toc15396612"/>
      <w:bookmarkStart w:id="61" w:name="_Toc9992"/>
      <w:r>
        <w:rPr>
          <w:rStyle w:val="18"/>
          <w:rFonts w:hint="eastAsia" w:ascii="黑体" w:hAnsi="黑体" w:eastAsia="黑体"/>
          <w:b w:val="0"/>
        </w:rPr>
        <w:t>其他重要事项的情况说明</w:t>
      </w:r>
      <w:bookmarkEnd w:id="58"/>
      <w:bookmarkEnd w:id="59"/>
      <w:bookmarkEnd w:id="60"/>
      <w:bookmarkEnd w:id="61"/>
    </w:p>
    <w:p w14:paraId="313E1C23">
      <w:pPr>
        <w:spacing w:line="600" w:lineRule="exact"/>
        <w:ind w:firstLine="643" w:firstLineChars="200"/>
        <w:outlineLvl w:val="2"/>
        <w:rPr>
          <w:rFonts w:ascii="仿宋" w:hAnsi="仿宋" w:eastAsia="仿宋"/>
          <w:sz w:val="32"/>
          <w:szCs w:val="32"/>
        </w:rPr>
      </w:pPr>
      <w:bookmarkStart w:id="62" w:name="_Toc15377222"/>
      <w:r>
        <w:rPr>
          <w:rFonts w:hint="eastAsia" w:ascii="仿宋" w:hAnsi="仿宋" w:eastAsia="仿宋"/>
          <w:b/>
          <w:sz w:val="32"/>
          <w:szCs w:val="32"/>
        </w:rPr>
        <w:t>（一）机关运行经费支出情况</w:t>
      </w:r>
      <w:bookmarkEnd w:id="62"/>
    </w:p>
    <w:p w14:paraId="7F84EE91">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2023年度</w:t>
      </w:r>
      <w:r>
        <w:rPr>
          <w:rFonts w:hint="eastAsia" w:ascii="仿宋_GB2312" w:eastAsia="仿宋_GB2312"/>
          <w:sz w:val="32"/>
          <w:szCs w:val="32"/>
        </w:rPr>
        <w:t>，广元市社会保险事务中心机关运行经费支出</w:t>
      </w:r>
      <w:r>
        <w:rPr>
          <w:rFonts w:hint="eastAsia" w:ascii="仿宋_GB2312" w:eastAsia="仿宋_GB2312"/>
          <w:sz w:val="32"/>
          <w:szCs w:val="32"/>
          <w:lang w:val="en-US" w:eastAsia="zh-CN"/>
        </w:rPr>
        <w:t>178.03</w:t>
      </w:r>
      <w:r>
        <w:rPr>
          <w:rFonts w:hint="eastAsia" w:ascii="仿宋_GB2312" w:eastAsia="仿宋_GB2312"/>
          <w:sz w:val="32"/>
          <w:szCs w:val="32"/>
        </w:rPr>
        <w:t>万元，比</w:t>
      </w:r>
      <w:r>
        <w:rPr>
          <w:rFonts w:hint="eastAsia" w:ascii="仿宋_GB2312" w:eastAsia="仿宋_GB2312"/>
          <w:sz w:val="32"/>
          <w:szCs w:val="32"/>
          <w:lang w:eastAsia="zh-CN"/>
        </w:rPr>
        <w:t>2022年增加</w:t>
      </w:r>
      <w:r>
        <w:rPr>
          <w:rFonts w:hint="eastAsia" w:ascii="仿宋_GB2312" w:eastAsia="仿宋_GB2312"/>
          <w:sz w:val="32"/>
          <w:szCs w:val="32"/>
          <w:lang w:val="en-US" w:eastAsia="zh-CN"/>
        </w:rPr>
        <w:t>61.77</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53.13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2022年受疫情影响，机关运行经费大幅下降，2023年恢复正常</w:t>
      </w:r>
      <w:r>
        <w:rPr>
          <w:rFonts w:hint="eastAsia" w:ascii="仿宋_GB2312" w:eastAsia="仿宋_GB2312"/>
          <w:sz w:val="32"/>
          <w:szCs w:val="32"/>
        </w:rPr>
        <w:t>。</w:t>
      </w:r>
    </w:p>
    <w:p w14:paraId="5D03B600">
      <w:pPr>
        <w:autoSpaceDE w:val="0"/>
        <w:autoSpaceDN w:val="0"/>
        <w:adjustRightInd w:val="0"/>
        <w:spacing w:line="600" w:lineRule="exact"/>
        <w:ind w:firstLine="643" w:firstLineChars="200"/>
        <w:jc w:val="left"/>
        <w:outlineLvl w:val="2"/>
        <w:rPr>
          <w:rFonts w:ascii="仿宋" w:hAnsi="仿宋" w:eastAsia="仿宋"/>
          <w:b/>
          <w:sz w:val="32"/>
          <w:szCs w:val="32"/>
        </w:rPr>
      </w:pPr>
      <w:bookmarkStart w:id="63" w:name="_Toc15377223"/>
      <w:r>
        <w:rPr>
          <w:rFonts w:hint="eastAsia" w:ascii="仿宋" w:hAnsi="仿宋" w:eastAsia="仿宋"/>
          <w:b/>
          <w:sz w:val="32"/>
          <w:szCs w:val="32"/>
        </w:rPr>
        <w:t>（二）政府采购支出情况</w:t>
      </w:r>
      <w:bookmarkEnd w:id="63"/>
    </w:p>
    <w:p w14:paraId="6AF116D4">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2023年度</w:t>
      </w:r>
      <w:r>
        <w:rPr>
          <w:rFonts w:hint="eastAsia" w:ascii="仿宋_GB2312" w:eastAsia="仿宋_GB2312"/>
          <w:sz w:val="32"/>
          <w:szCs w:val="32"/>
        </w:rPr>
        <w:t>，广元市社会保险事务中心政府采购支出总额0万元。</w:t>
      </w:r>
    </w:p>
    <w:p w14:paraId="36F116D5">
      <w:pPr>
        <w:autoSpaceDE w:val="0"/>
        <w:autoSpaceDN w:val="0"/>
        <w:adjustRightInd w:val="0"/>
        <w:spacing w:line="600" w:lineRule="exact"/>
        <w:ind w:firstLine="643" w:firstLineChars="200"/>
        <w:jc w:val="left"/>
        <w:outlineLvl w:val="2"/>
        <w:rPr>
          <w:rFonts w:ascii="仿宋" w:hAnsi="仿宋" w:eastAsia="仿宋"/>
          <w:b/>
          <w:sz w:val="32"/>
          <w:szCs w:val="32"/>
        </w:rPr>
      </w:pPr>
      <w:bookmarkStart w:id="64" w:name="_Toc15377224"/>
      <w:r>
        <w:rPr>
          <w:rFonts w:hint="eastAsia" w:ascii="仿宋" w:hAnsi="仿宋" w:eastAsia="仿宋"/>
          <w:b/>
          <w:sz w:val="32"/>
          <w:szCs w:val="32"/>
        </w:rPr>
        <w:t>（三）国有资产占有使用情况</w:t>
      </w:r>
      <w:bookmarkEnd w:id="64"/>
    </w:p>
    <w:p w14:paraId="1AA9B5B6">
      <w:pPr>
        <w:widowControl/>
        <w:spacing w:line="600" w:lineRule="atLeast"/>
        <w:ind w:firstLine="640"/>
        <w:jc w:val="left"/>
        <w:rPr>
          <w:color w:val="000000"/>
          <w:szCs w:val="21"/>
        </w:rPr>
      </w:pPr>
      <w:r>
        <w:rPr>
          <w:rFonts w:ascii="仿宋_GB2312" w:eastAsia="仿宋_GB2312" w:cs="仿宋_GB2312"/>
          <w:color w:val="000000"/>
          <w:kern w:val="0"/>
          <w:sz w:val="32"/>
          <w:szCs w:val="32"/>
        </w:rPr>
        <w:t>截至</w:t>
      </w:r>
      <w:r>
        <w:rPr>
          <w:rFonts w:hint="eastAsia" w:ascii="仿宋_GB2312" w:eastAsia="仿宋_GB2312" w:cs="仿宋_GB2312"/>
          <w:color w:val="000000"/>
          <w:kern w:val="0"/>
          <w:sz w:val="32"/>
          <w:szCs w:val="32"/>
          <w:lang w:eastAsia="zh-CN"/>
        </w:rPr>
        <w:t>2023年</w:t>
      </w:r>
      <w:r>
        <w:rPr>
          <w:rFonts w:ascii="仿宋_GB2312" w:eastAsia="仿宋_GB2312" w:cs="仿宋_GB2312"/>
          <w:color w:val="000000"/>
          <w:kern w:val="0"/>
          <w:sz w:val="32"/>
          <w:szCs w:val="32"/>
        </w:rPr>
        <w:t>12月31日，我单位共有车辆0辆，单价100万元以上专用设备0台（套）。</w:t>
      </w:r>
    </w:p>
    <w:p w14:paraId="11E2311C">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（四）预算绩效管理情况</w:t>
      </w:r>
    </w:p>
    <w:p w14:paraId="464D7CDB">
      <w:pPr>
        <w:pStyle w:val="6"/>
        <w:spacing w:before="93"/>
        <w:ind w:firstLine="640" w:firstLineChars="200"/>
        <w:rPr>
          <w:rFonts w:hAnsi="仿宋_GB2312" w:cs="仿宋_GB2312"/>
          <w:sz w:val="32"/>
          <w:szCs w:val="32"/>
        </w:rPr>
      </w:pPr>
      <w:r>
        <w:rPr>
          <w:rFonts w:hint="eastAsia" w:hAnsi="仿宋_GB2312" w:cs="仿宋_GB2312"/>
          <w:sz w:val="32"/>
          <w:szCs w:val="32"/>
        </w:rPr>
        <w:t>根据预算绩效管理要求，本单位在</w:t>
      </w:r>
      <w:r>
        <w:rPr>
          <w:rFonts w:hint="eastAsia" w:hAnsi="仿宋_GB2312" w:cs="仿宋_GB2312"/>
          <w:sz w:val="32"/>
          <w:szCs w:val="32"/>
          <w:lang w:eastAsia="zh-CN"/>
        </w:rPr>
        <w:t>2023年</w:t>
      </w:r>
      <w:r>
        <w:rPr>
          <w:rFonts w:hint="eastAsia" w:hAnsi="仿宋_GB2312" w:cs="仿宋_GB2312"/>
          <w:sz w:val="32"/>
          <w:szCs w:val="32"/>
        </w:rPr>
        <w:t>度预算编制阶段，组织对离退休人员管理工作经费等</w:t>
      </w:r>
      <w:r>
        <w:rPr>
          <w:rFonts w:hint="eastAsia" w:hAnsi="仿宋_GB2312" w:cs="仿宋_GB2312"/>
          <w:sz w:val="32"/>
          <w:szCs w:val="32"/>
          <w:lang w:val="en-US" w:eastAsia="zh-CN"/>
        </w:rPr>
        <w:t>7</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7</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7</w:t>
      </w:r>
      <w:r>
        <w:rPr>
          <w:rFonts w:hint="eastAsia" w:hAnsi="仿宋_GB2312" w:cs="仿宋_GB2312"/>
          <w:sz w:val="32"/>
          <w:szCs w:val="32"/>
        </w:rPr>
        <w:t>个项目开展绩效监控，组织对</w:t>
      </w:r>
      <w:r>
        <w:rPr>
          <w:rFonts w:hint="eastAsia" w:hAnsi="仿宋_GB2312" w:cs="仿宋_GB2312"/>
          <w:sz w:val="32"/>
          <w:szCs w:val="32"/>
          <w:lang w:val="en-US" w:eastAsia="zh-CN"/>
        </w:rPr>
        <w:t>7</w:t>
      </w:r>
      <w:r>
        <w:rPr>
          <w:rFonts w:hint="eastAsia" w:hAnsi="仿宋_GB2312" w:cs="仿宋_GB2312"/>
          <w:sz w:val="32"/>
          <w:szCs w:val="32"/>
        </w:rPr>
        <w:t>个项目开展绩效自评，绩效自评表详见第四部分附件。</w:t>
      </w:r>
    </w:p>
    <w:p w14:paraId="56321FC4">
      <w:pPr>
        <w:widowControl/>
        <w:jc w:val="left"/>
        <w:rPr>
          <w:rFonts w:ascii="仿宋_GB2312" w:eastAsia="仿宋_GB2312"/>
          <w:b/>
          <w:sz w:val="32"/>
          <w:szCs w:val="32"/>
        </w:rPr>
      </w:pPr>
      <w:r>
        <w:rPr>
          <w:rFonts w:ascii="仿宋_GB2312" w:eastAsia="仿宋_GB2312"/>
          <w:b/>
          <w:sz w:val="32"/>
          <w:szCs w:val="32"/>
        </w:rPr>
        <w:br w:type="page"/>
      </w:r>
    </w:p>
    <w:p w14:paraId="465EF30C">
      <w:pPr>
        <w:numPr>
          <w:ilvl w:val="0"/>
          <w:numId w:val="4"/>
        </w:numPr>
        <w:spacing w:line="600" w:lineRule="exact"/>
        <w:ind w:firstLine="660" w:firstLineChars="150"/>
        <w:jc w:val="center"/>
        <w:outlineLvl w:val="0"/>
        <w:rPr>
          <w:rStyle w:val="17"/>
          <w:rFonts w:ascii="黑体" w:hAnsi="黑体" w:eastAsia="黑体"/>
          <w:b w:val="0"/>
        </w:rPr>
      </w:pPr>
      <w:bookmarkStart w:id="65" w:name="_Toc30158"/>
      <w:bookmarkStart w:id="66" w:name="_Toc12686"/>
      <w:bookmarkStart w:id="67" w:name="_Toc15377225"/>
      <w:bookmarkStart w:id="68" w:name="_Toc15396613"/>
      <w:r>
        <w:rPr>
          <w:rFonts w:hint="eastAsia" w:ascii="黑体" w:hAnsi="黑体" w:eastAsia="黑体"/>
          <w:sz w:val="44"/>
          <w:szCs w:val="44"/>
        </w:rPr>
        <w:t>名</w:t>
      </w:r>
      <w:r>
        <w:rPr>
          <w:rStyle w:val="17"/>
          <w:rFonts w:hint="eastAsia" w:ascii="黑体" w:hAnsi="黑体" w:eastAsia="黑体"/>
          <w:b w:val="0"/>
        </w:rPr>
        <w:t>词解释</w:t>
      </w:r>
      <w:bookmarkEnd w:id="65"/>
      <w:bookmarkEnd w:id="66"/>
      <w:bookmarkEnd w:id="67"/>
      <w:bookmarkEnd w:id="68"/>
    </w:p>
    <w:p w14:paraId="4E0ACB86">
      <w:pPr>
        <w:spacing w:line="600" w:lineRule="exact"/>
        <w:jc w:val="left"/>
        <w:rPr>
          <w:rFonts w:ascii="宋体"/>
          <w:b/>
          <w:sz w:val="44"/>
          <w:szCs w:val="44"/>
        </w:rPr>
      </w:pPr>
    </w:p>
    <w:p w14:paraId="3DB7093A">
      <w:pPr>
        <w:pStyle w:val="26"/>
        <w:spacing w:line="560" w:lineRule="exact"/>
        <w:ind w:firstLine="640" w:firstLineChars="200"/>
        <w:outlineLvl w:val="1"/>
        <w:rPr>
          <w:rFonts w:ascii="仿宋_GB2312" w:eastAsia="仿宋_GB2312"/>
          <w:color w:val="auto"/>
          <w:sz w:val="32"/>
          <w:szCs w:val="32"/>
        </w:rPr>
      </w:pPr>
      <w:bookmarkStart w:id="69" w:name="_Toc16598"/>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69"/>
    </w:p>
    <w:p w14:paraId="76992C83">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14:paraId="5FAA2B8C">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3.年末结转和结余：指单位按有关规定结转到下年或以后年度继续使用的资金。</w:t>
      </w:r>
    </w:p>
    <w:p w14:paraId="404508AD">
      <w:pPr>
        <w:spacing w:line="580" w:lineRule="exact"/>
        <w:ind w:firstLine="640" w:firstLineChars="200"/>
        <w:rPr>
          <w:rFonts w:ascii="仿宋_GB2312" w:eastAsia="仿宋_GB2312"/>
          <w:sz w:val="32"/>
          <w:szCs w:val="32"/>
        </w:rPr>
      </w:pPr>
      <w:r>
        <w:rPr>
          <w:rFonts w:hint="eastAsia" w:ascii="仿宋_GB2312" w:eastAsia="仿宋_GB2312"/>
          <w:sz w:val="32"/>
          <w:szCs w:val="32"/>
        </w:rPr>
        <w:t>4.社会保障和就业支出（类）人力资源和社会保障管理事务（款）社会保险经办机构（项）:</w:t>
      </w:r>
      <w:r>
        <w:rPr>
          <w:rFonts w:hint="eastAsia" w:ascii="仿宋_GB2312" w:eastAsia="仿宋_GB2312"/>
          <w:color w:val="000000"/>
          <w:sz w:val="32"/>
          <w:szCs w:val="32"/>
        </w:rPr>
        <w:t>指社会保险经办机构开展业务工作的支出。</w:t>
      </w:r>
    </w:p>
    <w:p w14:paraId="1CBAF3D7">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5.社会保障和就业支出（类）行政事业单位养老支出（款）机关事业单位基本养老保险缴费支出（项）: 指机关事业单位实施养老保险制度由单位缴纳的基本养老保险费支出。</w:t>
      </w:r>
    </w:p>
    <w:p w14:paraId="705A1A10">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6.社会保障和就业支出（类）行政事业单位养老支出（款）机关事业单位职业年金缴费支出（项）:反映机关事业单位实施养老保险制度由单位实际缴纳的职业年金支出。 </w:t>
      </w:r>
    </w:p>
    <w:p w14:paraId="0410A62E">
      <w:pPr>
        <w:ind w:firstLine="640" w:firstLineChars="200"/>
        <w:rPr>
          <w:rFonts w:ascii="仿宋_GB2312" w:eastAsia="仿宋_GB2312"/>
          <w:sz w:val="32"/>
          <w:szCs w:val="32"/>
        </w:rPr>
      </w:pPr>
      <w:r>
        <w:rPr>
          <w:rFonts w:hint="eastAsia" w:ascii="仿宋_GB2312" w:eastAsia="仿宋_GB2312"/>
          <w:sz w:val="32"/>
          <w:szCs w:val="32"/>
        </w:rPr>
        <w:t>7.社会保障和就业支出（类）抚恤（款）死亡抚恤（项）:指反映按规定用于烈士和牺牲、病故人员家属的一次性和定期抚恤金以及丧葬补助费。</w:t>
      </w:r>
    </w:p>
    <w:p w14:paraId="23D3BE5E">
      <w:pPr>
        <w:ind w:firstLine="640" w:firstLineChars="200"/>
        <w:rPr>
          <w:rFonts w:ascii="仿宋_GB2312" w:eastAsia="仿宋_GB2312"/>
          <w:sz w:val="32"/>
          <w:szCs w:val="32"/>
        </w:rPr>
      </w:pPr>
      <w:r>
        <w:rPr>
          <w:rFonts w:hint="eastAsia" w:ascii="仿宋_GB2312" w:eastAsia="仿宋_GB2312"/>
          <w:sz w:val="32"/>
          <w:szCs w:val="32"/>
        </w:rPr>
        <w:t xml:space="preserve">8.卫生健康支出（类）行政事业单位医疗（款）事业单位医疗（项）:指反映财政部门集中安排的行政单位基本医疗保险缴费经费。 </w:t>
      </w:r>
    </w:p>
    <w:p w14:paraId="60AEC1A8">
      <w:pPr>
        <w:pStyle w:val="26"/>
        <w:spacing w:line="560" w:lineRule="exact"/>
        <w:ind w:firstLine="640" w:firstLineChars="200"/>
        <w:rPr>
          <w:rFonts w:ascii="仿宋_GB2312" w:eastAsia="仿宋_GB2312"/>
          <w:sz w:val="32"/>
          <w:szCs w:val="32"/>
        </w:rPr>
      </w:pPr>
      <w:r>
        <w:rPr>
          <w:rFonts w:hint="eastAsia" w:ascii="仿宋_GB2312" w:eastAsia="仿宋_GB2312"/>
          <w:sz w:val="32"/>
          <w:szCs w:val="32"/>
        </w:rPr>
        <w:t>9.住房保障支出（类）住房改革支出（款）住房公积金（项）:指行政事业单位按人力资源和社会保障部、财政部规定的基本工资和津贴补贴以及规定比例为职工缴纳的住房公积金。</w:t>
      </w:r>
    </w:p>
    <w:p w14:paraId="0C64038D">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09D1553C">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332F120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C1714F2">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机关运行经费：为保障行政单位（含参照公务员法管理的事业单位）运行用于购买货物和服务的各项资金，包括办公及印刷费、邮电费、差旅费、会议费、福利费及其他费用。</w:t>
      </w:r>
    </w:p>
    <w:p w14:paraId="35F35901">
      <w:pPr>
        <w:pStyle w:val="26"/>
        <w:spacing w:line="560" w:lineRule="exact"/>
        <w:ind w:firstLine="640" w:firstLineChars="200"/>
        <w:rPr>
          <w:rFonts w:ascii="仿宋_GB2312" w:eastAsia="仿宋_GB2312" w:cs="黑体"/>
          <w:color w:val="auto"/>
          <w:sz w:val="32"/>
          <w:szCs w:val="32"/>
        </w:rPr>
      </w:pPr>
    </w:p>
    <w:p w14:paraId="1CDEF17F">
      <w:pPr>
        <w:spacing w:line="600" w:lineRule="exact"/>
        <w:jc w:val="center"/>
        <w:outlineLvl w:val="0"/>
        <w:rPr>
          <w:rStyle w:val="17"/>
          <w:rFonts w:ascii="黑体" w:hAnsi="黑体" w:eastAsia="黑体"/>
          <w:b w:val="0"/>
        </w:rPr>
      </w:pPr>
      <w:bookmarkStart w:id="70" w:name="_Toc15377226"/>
      <w:r>
        <w:rPr>
          <w:rFonts w:ascii="宋体"/>
          <w:b/>
          <w:sz w:val="44"/>
          <w:szCs w:val="44"/>
        </w:rPr>
        <w:br w:type="page"/>
      </w:r>
      <w:bookmarkStart w:id="71" w:name="_Toc28725"/>
      <w:bookmarkStart w:id="72" w:name="_Toc15396614"/>
      <w:bookmarkStart w:id="73" w:name="_Toc10457"/>
      <w:r>
        <w:rPr>
          <w:rFonts w:hint="eastAsia" w:ascii="黑体" w:hAnsi="黑体" w:eastAsia="黑体"/>
          <w:sz w:val="44"/>
          <w:szCs w:val="44"/>
        </w:rPr>
        <w:t>第</w:t>
      </w:r>
      <w:r>
        <w:rPr>
          <w:rStyle w:val="17"/>
          <w:rFonts w:hint="eastAsia" w:ascii="黑体" w:hAnsi="黑体" w:eastAsia="黑体"/>
          <w:b w:val="0"/>
        </w:rPr>
        <w:t>四部分 附件</w:t>
      </w:r>
      <w:bookmarkEnd w:id="71"/>
      <w:bookmarkEnd w:id="72"/>
      <w:bookmarkEnd w:id="73"/>
    </w:p>
    <w:p w14:paraId="079E2BA1">
      <w:pPr>
        <w:spacing w:line="572" w:lineRule="exact"/>
        <w:jc w:val="left"/>
        <w:rPr>
          <w:rFonts w:ascii="仿宋_GB2312" w:hAnsi="仿宋_GB2312" w:eastAsia="仿宋_GB2312" w:cs="仿宋_GB2312"/>
          <w:sz w:val="32"/>
          <w:szCs w:val="32"/>
        </w:rPr>
      </w:pPr>
    </w:p>
    <w:p w14:paraId="512D1702">
      <w:pPr>
        <w:spacing w:line="600" w:lineRule="exact"/>
        <w:jc w:val="center"/>
        <w:outlineLvl w:val="1"/>
        <w:rPr>
          <w:rFonts w:hint="eastAsia" w:ascii="宋体" w:hAnsi="宋体" w:cs="宋体"/>
          <w:kern w:val="0"/>
          <w:sz w:val="32"/>
          <w:szCs w:val="32"/>
        </w:rPr>
      </w:pPr>
      <w:bookmarkStart w:id="74" w:name="_Toc24271"/>
      <w:bookmarkStart w:id="75" w:name="_Toc28968"/>
      <w:bookmarkStart w:id="76" w:name="_Toc15396618"/>
      <w:r>
        <w:rPr>
          <w:rFonts w:hint="eastAsia" w:ascii="宋体" w:hAnsi="宋体" w:cs="宋体"/>
          <w:kern w:val="0"/>
          <w:sz w:val="32"/>
          <w:szCs w:val="32"/>
        </w:rPr>
        <w:t>部门预算项目支出绩效自评表（</w:t>
      </w:r>
      <w:r>
        <w:rPr>
          <w:rFonts w:hint="eastAsia" w:ascii="宋体" w:hAnsi="宋体" w:cs="宋体"/>
          <w:kern w:val="0"/>
          <w:sz w:val="32"/>
          <w:szCs w:val="32"/>
          <w:lang w:eastAsia="zh-CN"/>
        </w:rPr>
        <w:t>2023年</w:t>
      </w:r>
      <w:r>
        <w:rPr>
          <w:rFonts w:hint="eastAsia" w:ascii="宋体" w:hAnsi="宋体" w:cs="宋体"/>
          <w:kern w:val="0"/>
          <w:sz w:val="32"/>
          <w:szCs w:val="32"/>
        </w:rPr>
        <w:t>度）</w:t>
      </w:r>
      <w:bookmarkEnd w:id="74"/>
      <w:bookmarkEnd w:id="75"/>
    </w:p>
    <w:tbl>
      <w:tblPr>
        <w:tblStyle w:val="13"/>
        <w:tblW w:w="9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9"/>
        <w:gridCol w:w="1059"/>
        <w:gridCol w:w="945"/>
        <w:gridCol w:w="1327"/>
        <w:gridCol w:w="534"/>
        <w:gridCol w:w="768"/>
        <w:gridCol w:w="534"/>
        <w:gridCol w:w="1070"/>
        <w:gridCol w:w="825"/>
        <w:gridCol w:w="653"/>
        <w:gridCol w:w="721"/>
      </w:tblGrid>
      <w:tr w14:paraId="7738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4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4A122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45C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412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7FC4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人员经费</w:t>
            </w:r>
          </w:p>
        </w:tc>
      </w:tr>
      <w:tr w14:paraId="63EA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17E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B847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70" w:type="dxa"/>
            <w:tcBorders>
              <w:top w:val="nil"/>
              <w:left w:val="nil"/>
              <w:bottom w:val="nil"/>
              <w:right w:val="nil"/>
            </w:tcBorders>
            <w:shd w:val="clear" w:color="auto" w:fill="auto"/>
            <w:vAlign w:val="center"/>
          </w:tcPr>
          <w:p w14:paraId="03B8910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059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287D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6B3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E21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650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3E766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71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D364C">
            <w:pP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B774">
            <w:pPr>
              <w:rPr>
                <w:rFonts w:hint="eastAsia" w:ascii="宋体" w:hAnsi="宋体" w:eastAsia="宋体" w:cs="宋体"/>
                <w:i w:val="0"/>
                <w:iCs w:val="0"/>
                <w:color w:val="000000"/>
                <w:sz w:val="18"/>
                <w:szCs w:val="18"/>
                <w:u w:val="none"/>
              </w:rPr>
            </w:pPr>
          </w:p>
        </w:tc>
        <w:tc>
          <w:tcPr>
            <w:tcW w:w="4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2FC9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EC88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严格执行相关政策，保障工资及时、足额发放或社保及时、足额缴纳，预算编制科学合理，年底结余资金较少，基本完成目标任务。</w:t>
            </w:r>
          </w:p>
        </w:tc>
      </w:tr>
      <w:tr w14:paraId="6BC9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33522">
            <w:pP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99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5B830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全年严格按照相关政策及时、足额支付工资，及时、足额缴纳保险。</w:t>
            </w:r>
          </w:p>
        </w:tc>
      </w:tr>
      <w:tr w14:paraId="7FA4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C59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1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0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F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E5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D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17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0E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3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8852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E760F">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97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6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901.12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99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2,153.72</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892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2,153.72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8A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69F13">
            <w:pPr>
              <w:rPr>
                <w:rFonts w:hint="eastAsia" w:ascii="黑体" w:hAnsi="黑体" w:eastAsia="黑体" w:cs="黑体"/>
                <w:i/>
                <w:iCs/>
                <w:color w:val="000000"/>
                <w:sz w:val="18"/>
                <w:szCs w:val="18"/>
                <w:u w:val="none"/>
              </w:rPr>
            </w:pPr>
          </w:p>
        </w:tc>
      </w:tr>
      <w:tr w14:paraId="55F9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AAFCA">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22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8A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901.12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A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2,153.72</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C882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2,153.72</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9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76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8E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0988">
            <w:pPr>
              <w:rPr>
                <w:rFonts w:hint="eastAsia" w:ascii="黑体" w:hAnsi="黑体" w:eastAsia="黑体" w:cs="黑体"/>
                <w:i/>
                <w:iCs/>
                <w:color w:val="000000"/>
                <w:sz w:val="18"/>
                <w:szCs w:val="18"/>
                <w:u w:val="none"/>
              </w:rPr>
            </w:pPr>
          </w:p>
        </w:tc>
      </w:tr>
      <w:tr w14:paraId="23AB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DA303">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B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0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3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5E1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B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2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6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37C7">
            <w:pPr>
              <w:rPr>
                <w:rFonts w:hint="eastAsia" w:ascii="黑体" w:hAnsi="黑体" w:eastAsia="黑体" w:cs="黑体"/>
                <w:i/>
                <w:iCs/>
                <w:color w:val="000000"/>
                <w:sz w:val="18"/>
                <w:szCs w:val="18"/>
                <w:u w:val="none"/>
              </w:rPr>
            </w:pPr>
          </w:p>
        </w:tc>
      </w:tr>
      <w:tr w14:paraId="1B857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6C0FA">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EF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4B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32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6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4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7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4AE9">
            <w:pPr>
              <w:rPr>
                <w:rFonts w:hint="eastAsia" w:ascii="黑体" w:hAnsi="黑体" w:eastAsia="黑体" w:cs="黑体"/>
                <w:i/>
                <w:iCs/>
                <w:color w:val="000000"/>
                <w:sz w:val="18"/>
                <w:szCs w:val="18"/>
                <w:u w:val="none"/>
              </w:rPr>
            </w:pPr>
          </w:p>
        </w:tc>
      </w:tr>
      <w:tr w14:paraId="3072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973A">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7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83AC">
            <w:pPr>
              <w:jc w:val="center"/>
              <w:rPr>
                <w:rFonts w:hint="eastAsia" w:ascii="微软雅黑" w:hAnsi="微软雅黑" w:eastAsia="微软雅黑" w:cs="微软雅黑"/>
                <w:i/>
                <w:iCs/>
                <w:color w:val="000000"/>
                <w:sz w:val="16"/>
                <w:szCs w:val="16"/>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1D46">
            <w:pPr>
              <w:jc w:val="center"/>
              <w:rPr>
                <w:rFonts w:hint="eastAsia" w:ascii="微软雅黑" w:hAnsi="微软雅黑" w:eastAsia="微软雅黑" w:cs="微软雅黑"/>
                <w:i/>
                <w:iCs/>
                <w:color w:val="000000"/>
                <w:sz w:val="16"/>
                <w:szCs w:val="16"/>
                <w:u w:val="none"/>
              </w:rPr>
            </w:pP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ACA617">
            <w:pPr>
              <w:jc w:val="center"/>
              <w:rPr>
                <w:rFonts w:hint="eastAsia" w:ascii="微软雅黑" w:hAnsi="微软雅黑" w:eastAsia="微软雅黑" w:cs="微软雅黑"/>
                <w:i/>
                <w:iCs/>
                <w:color w:val="000000"/>
                <w:sz w:val="16"/>
                <w:szCs w:val="16"/>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A1E0">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9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5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E676">
            <w:pPr>
              <w:rPr>
                <w:rFonts w:hint="eastAsia" w:ascii="黑体" w:hAnsi="黑体" w:eastAsia="黑体" w:cs="黑体"/>
                <w:i/>
                <w:iCs/>
                <w:color w:val="000000"/>
                <w:sz w:val="18"/>
                <w:szCs w:val="18"/>
                <w:u w:val="none"/>
              </w:rPr>
            </w:pPr>
          </w:p>
        </w:tc>
      </w:tr>
      <w:tr w14:paraId="23B1D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00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3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8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65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34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1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9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B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7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D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0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26B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9D43C">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F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0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A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8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5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2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01F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6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D5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52CE">
            <w:pPr>
              <w:jc w:val="center"/>
              <w:rPr>
                <w:rFonts w:hint="eastAsia" w:ascii="微软雅黑" w:hAnsi="微软雅黑" w:eastAsia="微软雅黑" w:cs="微软雅黑"/>
                <w:i/>
                <w:iCs/>
                <w:color w:val="000000"/>
                <w:sz w:val="16"/>
                <w:szCs w:val="16"/>
                <w:u w:val="none"/>
              </w:rPr>
            </w:pPr>
          </w:p>
        </w:tc>
      </w:tr>
      <w:tr w14:paraId="775E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EEE60">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6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3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8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2A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6C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C5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DD41">
            <w:pPr>
              <w:jc w:val="center"/>
              <w:rPr>
                <w:rFonts w:hint="eastAsia" w:ascii="微软雅黑" w:hAnsi="微软雅黑" w:eastAsia="微软雅黑" w:cs="微软雅黑"/>
                <w:i/>
                <w:iCs/>
                <w:color w:val="000000"/>
                <w:sz w:val="16"/>
                <w:szCs w:val="16"/>
                <w:u w:val="none"/>
              </w:rPr>
            </w:pPr>
          </w:p>
        </w:tc>
      </w:tr>
      <w:tr w14:paraId="4663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B04B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A2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943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477E">
            <w:pPr>
              <w:rPr>
                <w:rFonts w:hint="eastAsia" w:ascii="宋体" w:hAnsi="宋体" w:eastAsia="宋体" w:cs="宋体"/>
                <w:i w:val="0"/>
                <w:iCs w:val="0"/>
                <w:color w:val="000000"/>
                <w:sz w:val="18"/>
                <w:szCs w:val="18"/>
                <w:u w:val="none"/>
              </w:rPr>
            </w:pPr>
          </w:p>
        </w:tc>
      </w:tr>
      <w:tr w14:paraId="1030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6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E379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该项目的实施，保障了全年职工工资及时、足额发放或社保及时、足额缴纳，绩效目标完成情况非常好，效益显著，自评得分100分。</w:t>
            </w:r>
          </w:p>
        </w:tc>
      </w:tr>
      <w:tr w14:paraId="34CA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C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90ED2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EE8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2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321E55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50A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4F46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项目负责人：程皓</w:t>
            </w:r>
          </w:p>
        </w:tc>
        <w:tc>
          <w:tcPr>
            <w:tcW w:w="4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6B5F0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财务负责人：李映志</w:t>
            </w:r>
          </w:p>
        </w:tc>
      </w:tr>
      <w:tr w14:paraId="6AF41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tcBorders>
              <w:top w:val="nil"/>
              <w:left w:val="nil"/>
              <w:bottom w:val="nil"/>
              <w:right w:val="nil"/>
            </w:tcBorders>
            <w:shd w:val="clear" w:color="auto" w:fill="auto"/>
            <w:vAlign w:val="center"/>
          </w:tcPr>
          <w:p w14:paraId="1B0F6A03">
            <w:pPr>
              <w:rPr>
                <w:rFonts w:hint="eastAsia" w:ascii="宋体" w:hAnsi="宋体" w:eastAsia="宋体" w:cs="宋体"/>
                <w:i w:val="0"/>
                <w:iCs w:val="0"/>
                <w:color w:val="000000"/>
                <w:sz w:val="18"/>
                <w:szCs w:val="18"/>
                <w:u w:val="none"/>
              </w:rPr>
            </w:pPr>
          </w:p>
        </w:tc>
        <w:tc>
          <w:tcPr>
            <w:tcW w:w="1059" w:type="dxa"/>
            <w:tcBorders>
              <w:top w:val="nil"/>
              <w:left w:val="nil"/>
              <w:bottom w:val="nil"/>
              <w:right w:val="nil"/>
            </w:tcBorders>
            <w:shd w:val="clear" w:color="auto" w:fill="auto"/>
            <w:vAlign w:val="center"/>
          </w:tcPr>
          <w:p w14:paraId="3CDFBAD1">
            <w:pPr>
              <w:rPr>
                <w:rFonts w:hint="eastAsia" w:ascii="宋体" w:hAnsi="宋体" w:eastAsia="宋体" w:cs="宋体"/>
                <w:i w:val="0"/>
                <w:iCs w:val="0"/>
                <w:color w:val="000000"/>
                <w:sz w:val="18"/>
                <w:szCs w:val="18"/>
                <w:u w:val="none"/>
              </w:rPr>
            </w:pPr>
          </w:p>
        </w:tc>
        <w:tc>
          <w:tcPr>
            <w:tcW w:w="945" w:type="dxa"/>
            <w:tcBorders>
              <w:top w:val="nil"/>
              <w:left w:val="nil"/>
              <w:bottom w:val="nil"/>
              <w:right w:val="nil"/>
            </w:tcBorders>
            <w:shd w:val="clear" w:color="auto" w:fill="auto"/>
            <w:vAlign w:val="center"/>
          </w:tcPr>
          <w:p w14:paraId="01FE7A4B">
            <w:pPr>
              <w:rPr>
                <w:rFonts w:hint="eastAsia" w:ascii="宋体" w:hAnsi="宋体" w:eastAsia="宋体" w:cs="宋体"/>
                <w:i w:val="0"/>
                <w:iCs w:val="0"/>
                <w:color w:val="000000"/>
                <w:sz w:val="18"/>
                <w:szCs w:val="18"/>
                <w:u w:val="none"/>
              </w:rPr>
            </w:pPr>
          </w:p>
        </w:tc>
        <w:tc>
          <w:tcPr>
            <w:tcW w:w="1327" w:type="dxa"/>
            <w:tcBorders>
              <w:top w:val="nil"/>
              <w:left w:val="nil"/>
              <w:bottom w:val="nil"/>
              <w:right w:val="nil"/>
            </w:tcBorders>
            <w:shd w:val="clear" w:color="auto" w:fill="auto"/>
            <w:vAlign w:val="center"/>
          </w:tcPr>
          <w:p w14:paraId="548A7FA5">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132B1859">
            <w:pPr>
              <w:rPr>
                <w:rFonts w:hint="eastAsia" w:ascii="宋体" w:hAnsi="宋体" w:eastAsia="宋体" w:cs="宋体"/>
                <w:i w:val="0"/>
                <w:iCs w:val="0"/>
                <w:color w:val="000000"/>
                <w:sz w:val="18"/>
                <w:szCs w:val="18"/>
                <w:u w:val="none"/>
              </w:rPr>
            </w:pPr>
          </w:p>
        </w:tc>
        <w:tc>
          <w:tcPr>
            <w:tcW w:w="768" w:type="dxa"/>
            <w:tcBorders>
              <w:top w:val="nil"/>
              <w:left w:val="nil"/>
              <w:bottom w:val="nil"/>
              <w:right w:val="nil"/>
            </w:tcBorders>
            <w:shd w:val="clear" w:color="auto" w:fill="auto"/>
            <w:vAlign w:val="center"/>
          </w:tcPr>
          <w:p w14:paraId="1BD3544F">
            <w:pPr>
              <w:rPr>
                <w:rFonts w:hint="eastAsia" w:ascii="宋体" w:hAnsi="宋体" w:eastAsia="宋体" w:cs="宋体"/>
                <w:i w:val="0"/>
                <w:iCs w:val="0"/>
                <w:color w:val="000000"/>
                <w:sz w:val="18"/>
                <w:szCs w:val="18"/>
                <w:u w:val="none"/>
              </w:rPr>
            </w:pPr>
          </w:p>
        </w:tc>
        <w:tc>
          <w:tcPr>
            <w:tcW w:w="534" w:type="dxa"/>
            <w:tcBorders>
              <w:top w:val="nil"/>
              <w:left w:val="nil"/>
              <w:bottom w:val="nil"/>
              <w:right w:val="nil"/>
            </w:tcBorders>
            <w:shd w:val="clear" w:color="auto" w:fill="auto"/>
            <w:vAlign w:val="center"/>
          </w:tcPr>
          <w:p w14:paraId="7891408F">
            <w:pPr>
              <w:rPr>
                <w:rFonts w:hint="eastAsia" w:ascii="宋体" w:hAnsi="宋体" w:eastAsia="宋体" w:cs="宋体"/>
                <w:i w:val="0"/>
                <w:iCs w:val="0"/>
                <w:color w:val="000000"/>
                <w:sz w:val="18"/>
                <w:szCs w:val="18"/>
                <w:u w:val="none"/>
              </w:rPr>
            </w:pPr>
          </w:p>
        </w:tc>
        <w:tc>
          <w:tcPr>
            <w:tcW w:w="1070" w:type="dxa"/>
            <w:tcBorders>
              <w:top w:val="nil"/>
              <w:left w:val="nil"/>
              <w:bottom w:val="nil"/>
              <w:right w:val="nil"/>
            </w:tcBorders>
            <w:shd w:val="clear" w:color="auto" w:fill="auto"/>
            <w:vAlign w:val="center"/>
          </w:tcPr>
          <w:p w14:paraId="62F4848A">
            <w:pPr>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auto"/>
            <w:vAlign w:val="center"/>
          </w:tcPr>
          <w:p w14:paraId="62282AA3">
            <w:pPr>
              <w:rPr>
                <w:rFonts w:hint="eastAsia" w:ascii="宋体" w:hAnsi="宋体" w:eastAsia="宋体" w:cs="宋体"/>
                <w:i w:val="0"/>
                <w:iCs w:val="0"/>
                <w:color w:val="000000"/>
                <w:sz w:val="18"/>
                <w:szCs w:val="18"/>
                <w:u w:val="none"/>
              </w:rPr>
            </w:pPr>
          </w:p>
        </w:tc>
        <w:tc>
          <w:tcPr>
            <w:tcW w:w="653" w:type="dxa"/>
            <w:tcBorders>
              <w:top w:val="nil"/>
              <w:left w:val="nil"/>
              <w:bottom w:val="nil"/>
              <w:right w:val="nil"/>
            </w:tcBorders>
            <w:shd w:val="clear" w:color="auto" w:fill="auto"/>
            <w:vAlign w:val="center"/>
          </w:tcPr>
          <w:p w14:paraId="2B1709C5">
            <w:pPr>
              <w:rPr>
                <w:rFonts w:hint="eastAsia" w:ascii="宋体" w:hAnsi="宋体" w:eastAsia="宋体" w:cs="宋体"/>
                <w:i w:val="0"/>
                <w:iCs w:val="0"/>
                <w:color w:val="000000"/>
                <w:sz w:val="18"/>
                <w:szCs w:val="18"/>
                <w:u w:val="none"/>
              </w:rPr>
            </w:pPr>
          </w:p>
        </w:tc>
        <w:tc>
          <w:tcPr>
            <w:tcW w:w="721" w:type="dxa"/>
            <w:tcBorders>
              <w:top w:val="nil"/>
              <w:left w:val="nil"/>
              <w:bottom w:val="nil"/>
              <w:right w:val="nil"/>
            </w:tcBorders>
            <w:shd w:val="clear" w:color="auto" w:fill="auto"/>
            <w:vAlign w:val="center"/>
          </w:tcPr>
          <w:p w14:paraId="66BB36D0">
            <w:pPr>
              <w:rPr>
                <w:rFonts w:hint="eastAsia" w:ascii="宋体" w:hAnsi="宋体" w:eastAsia="宋体" w:cs="宋体"/>
                <w:i w:val="0"/>
                <w:iCs w:val="0"/>
                <w:color w:val="000000"/>
                <w:sz w:val="18"/>
                <w:szCs w:val="18"/>
                <w:u w:val="none"/>
              </w:rPr>
            </w:pPr>
          </w:p>
        </w:tc>
      </w:tr>
      <w:tr w14:paraId="0C07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49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4E66F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08B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121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4708E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日常公用经费</w:t>
            </w:r>
          </w:p>
        </w:tc>
      </w:tr>
      <w:tr w14:paraId="2081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DD4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123A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1070" w:type="dxa"/>
            <w:tcBorders>
              <w:top w:val="nil"/>
              <w:left w:val="nil"/>
              <w:bottom w:val="nil"/>
              <w:right w:val="nil"/>
            </w:tcBorders>
            <w:shd w:val="clear" w:color="auto" w:fill="auto"/>
            <w:vAlign w:val="center"/>
          </w:tcPr>
          <w:p w14:paraId="1B2727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4A99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7C74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CBD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B6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9A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D86F5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750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A401E">
            <w:pP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91DC5">
            <w:pPr>
              <w:rPr>
                <w:rFonts w:hint="eastAsia" w:ascii="宋体" w:hAnsi="宋体" w:eastAsia="宋体" w:cs="宋体"/>
                <w:i w:val="0"/>
                <w:iCs w:val="0"/>
                <w:color w:val="000000"/>
                <w:sz w:val="18"/>
                <w:szCs w:val="18"/>
                <w:u w:val="none"/>
              </w:rPr>
            </w:pPr>
          </w:p>
        </w:tc>
        <w:tc>
          <w:tcPr>
            <w:tcW w:w="41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74B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0DBE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严格执行预算，保障了单位日常运转。</w:t>
            </w:r>
          </w:p>
        </w:tc>
      </w:tr>
      <w:tr w14:paraId="2C867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B8875">
            <w:pP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C4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7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E20D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严格按照相关政策使用和支付日常公用经费，确保机关日常运转。</w:t>
            </w:r>
          </w:p>
        </w:tc>
      </w:tr>
      <w:tr w14:paraId="7D17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88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A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2D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C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AA1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4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6A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4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0C31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7E8AE">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D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6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5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178.03</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91B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7F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1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9280F">
            <w:pPr>
              <w:rPr>
                <w:rFonts w:hint="eastAsia" w:ascii="黑体" w:hAnsi="黑体" w:eastAsia="黑体" w:cs="黑体"/>
                <w:i/>
                <w:iCs/>
                <w:color w:val="000000"/>
                <w:sz w:val="18"/>
                <w:szCs w:val="18"/>
                <w:u w:val="none"/>
              </w:rPr>
            </w:pPr>
          </w:p>
        </w:tc>
      </w:tr>
      <w:tr w14:paraId="1B3A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36E83">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7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E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139.57</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ED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178.03</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AD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178.03</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3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5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B9F5">
            <w:pPr>
              <w:rPr>
                <w:rFonts w:hint="eastAsia" w:ascii="黑体" w:hAnsi="黑体" w:eastAsia="黑体" w:cs="黑体"/>
                <w:i/>
                <w:iCs/>
                <w:color w:val="000000"/>
                <w:sz w:val="18"/>
                <w:szCs w:val="18"/>
                <w:u w:val="none"/>
              </w:rPr>
            </w:pPr>
          </w:p>
        </w:tc>
      </w:tr>
      <w:tr w14:paraId="4C4B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391B">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D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4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6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3BD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9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7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FB853">
            <w:pPr>
              <w:rPr>
                <w:rFonts w:hint="eastAsia" w:ascii="黑体" w:hAnsi="黑体" w:eastAsia="黑体" w:cs="黑体"/>
                <w:i/>
                <w:iCs/>
                <w:color w:val="000000"/>
                <w:sz w:val="18"/>
                <w:szCs w:val="18"/>
                <w:u w:val="none"/>
              </w:rPr>
            </w:pPr>
          </w:p>
        </w:tc>
      </w:tr>
      <w:tr w14:paraId="7447D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CB2D6">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2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2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8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6A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6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4D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D0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C1B8D">
            <w:pPr>
              <w:rPr>
                <w:rFonts w:hint="eastAsia" w:ascii="黑体" w:hAnsi="黑体" w:eastAsia="黑体" w:cs="黑体"/>
                <w:i/>
                <w:iCs/>
                <w:color w:val="000000"/>
                <w:sz w:val="18"/>
                <w:szCs w:val="18"/>
                <w:u w:val="none"/>
              </w:rPr>
            </w:pPr>
          </w:p>
        </w:tc>
      </w:tr>
      <w:tr w14:paraId="664C2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A801">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5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6E93">
            <w:pPr>
              <w:jc w:val="center"/>
              <w:rPr>
                <w:rFonts w:hint="eastAsia" w:ascii="微软雅黑" w:hAnsi="微软雅黑" w:eastAsia="微软雅黑" w:cs="微软雅黑"/>
                <w:i/>
                <w:iCs/>
                <w:color w:val="000000"/>
                <w:sz w:val="16"/>
                <w:szCs w:val="16"/>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8D4D">
            <w:pPr>
              <w:jc w:val="center"/>
              <w:rPr>
                <w:rFonts w:hint="eastAsia" w:ascii="微软雅黑" w:hAnsi="微软雅黑" w:eastAsia="微软雅黑" w:cs="微软雅黑"/>
                <w:i/>
                <w:iCs/>
                <w:color w:val="000000"/>
                <w:sz w:val="16"/>
                <w:szCs w:val="16"/>
                <w:u w:val="none"/>
              </w:rPr>
            </w:pPr>
          </w:p>
        </w:tc>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78BFD3">
            <w:pPr>
              <w:jc w:val="center"/>
              <w:rPr>
                <w:rFonts w:hint="eastAsia" w:ascii="微软雅黑" w:hAnsi="微软雅黑" w:eastAsia="微软雅黑" w:cs="微软雅黑"/>
                <w:i/>
                <w:iCs/>
                <w:color w:val="000000"/>
                <w:sz w:val="16"/>
                <w:szCs w:val="16"/>
                <w:u w:val="none"/>
              </w:rPr>
            </w:pP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ECA5">
            <w:pPr>
              <w:jc w:val="center"/>
              <w:rPr>
                <w:rFonts w:hint="eastAsia" w:ascii="微软雅黑" w:hAnsi="微软雅黑" w:eastAsia="微软雅黑" w:cs="微软雅黑"/>
                <w:i/>
                <w:iCs/>
                <w:color w:val="000000"/>
                <w:sz w:val="16"/>
                <w:szCs w:val="16"/>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2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70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0D38">
            <w:pPr>
              <w:rPr>
                <w:rFonts w:hint="eastAsia" w:ascii="黑体" w:hAnsi="黑体" w:eastAsia="黑体" w:cs="黑体"/>
                <w:i/>
                <w:iCs/>
                <w:color w:val="000000"/>
                <w:sz w:val="18"/>
                <w:szCs w:val="18"/>
                <w:u w:val="none"/>
              </w:rPr>
            </w:pPr>
          </w:p>
        </w:tc>
      </w:tr>
      <w:tr w14:paraId="6336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74F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9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5B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AE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54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1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15C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61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8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1F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5A1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DCA3E">
            <w:pPr>
              <w:jc w:val="center"/>
              <w:rPr>
                <w:rFonts w:hint="eastAsia" w:ascii="宋体" w:hAnsi="宋体" w:eastAsia="宋体" w:cs="宋体"/>
                <w:i w:val="0"/>
                <w:iCs w:val="0"/>
                <w:color w:val="000000"/>
                <w:sz w:val="18"/>
                <w:szCs w:val="18"/>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9E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E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9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B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A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D7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783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8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8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94F2">
            <w:pPr>
              <w:jc w:val="center"/>
              <w:rPr>
                <w:rFonts w:hint="eastAsia" w:ascii="微软雅黑" w:hAnsi="微软雅黑" w:eastAsia="微软雅黑" w:cs="微软雅黑"/>
                <w:i/>
                <w:iCs/>
                <w:color w:val="000000"/>
                <w:sz w:val="16"/>
                <w:szCs w:val="16"/>
                <w:u w:val="none"/>
              </w:rPr>
            </w:pPr>
          </w:p>
        </w:tc>
      </w:tr>
      <w:tr w14:paraId="0FD7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8CDBD">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C33C">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A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20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9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2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88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FD2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1.53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6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1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D367">
            <w:pPr>
              <w:jc w:val="center"/>
              <w:rPr>
                <w:rFonts w:hint="eastAsia" w:ascii="微软雅黑" w:hAnsi="微软雅黑" w:eastAsia="微软雅黑" w:cs="微软雅黑"/>
                <w:i/>
                <w:iCs/>
                <w:color w:val="000000"/>
                <w:sz w:val="16"/>
                <w:szCs w:val="16"/>
                <w:u w:val="none"/>
              </w:rPr>
            </w:pPr>
          </w:p>
        </w:tc>
      </w:tr>
      <w:tr w14:paraId="438CC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AB040">
            <w:pPr>
              <w:jc w:val="center"/>
              <w:rPr>
                <w:rFonts w:hint="eastAsia" w:ascii="宋体" w:hAnsi="宋体" w:eastAsia="宋体" w:cs="宋体"/>
                <w:i w:val="0"/>
                <w:iCs w:val="0"/>
                <w:color w:val="000000"/>
                <w:sz w:val="18"/>
                <w:szCs w:val="18"/>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35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3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E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3A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C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C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C6F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98.47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D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E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AE9B">
            <w:pPr>
              <w:jc w:val="center"/>
              <w:rPr>
                <w:rFonts w:hint="eastAsia" w:ascii="微软雅黑" w:hAnsi="微软雅黑" w:eastAsia="微软雅黑" w:cs="微软雅黑"/>
                <w:i/>
                <w:iCs/>
                <w:color w:val="000000"/>
                <w:sz w:val="16"/>
                <w:szCs w:val="16"/>
                <w:u w:val="none"/>
              </w:rPr>
            </w:pPr>
          </w:p>
        </w:tc>
      </w:tr>
      <w:tr w14:paraId="6CC2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BE06F">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9A1FA">
            <w:pPr>
              <w:jc w:val="center"/>
              <w:rPr>
                <w:rFonts w:hint="eastAsia" w:ascii="宋体" w:hAnsi="宋体" w:eastAsia="宋体" w:cs="宋体"/>
                <w:i w:val="0"/>
                <w:iCs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3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BB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C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5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3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777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EC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7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A888">
            <w:pPr>
              <w:jc w:val="center"/>
              <w:rPr>
                <w:rFonts w:hint="eastAsia" w:ascii="微软雅黑" w:hAnsi="微软雅黑" w:eastAsia="微软雅黑" w:cs="微软雅黑"/>
                <w:i/>
                <w:iCs/>
                <w:color w:val="000000"/>
                <w:sz w:val="16"/>
                <w:szCs w:val="16"/>
                <w:u w:val="none"/>
              </w:rPr>
            </w:pPr>
          </w:p>
        </w:tc>
      </w:tr>
      <w:tr w14:paraId="7CC5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2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D72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D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12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046A">
            <w:pPr>
              <w:rPr>
                <w:rFonts w:hint="eastAsia" w:ascii="宋体" w:hAnsi="宋体" w:eastAsia="宋体" w:cs="宋体"/>
                <w:i w:val="0"/>
                <w:iCs w:val="0"/>
                <w:color w:val="000000"/>
                <w:sz w:val="18"/>
                <w:szCs w:val="18"/>
                <w:u w:val="none"/>
              </w:rPr>
            </w:pPr>
          </w:p>
        </w:tc>
      </w:tr>
      <w:tr w14:paraId="1F7BA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76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6A41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该项目的实施，保障了机关日常运转，绩效目标完成情况非常好，效益显著，自评的100分。</w:t>
            </w:r>
          </w:p>
        </w:tc>
      </w:tr>
      <w:tr w14:paraId="465F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B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E07B2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259B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2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3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72B24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5C87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9B857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项目负责人：程皓</w:t>
            </w:r>
          </w:p>
        </w:tc>
        <w:tc>
          <w:tcPr>
            <w:tcW w:w="45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1C1D4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财务负责人：李映志</w:t>
            </w:r>
          </w:p>
        </w:tc>
      </w:tr>
    </w:tbl>
    <w:p w14:paraId="6949FF1E">
      <w:pPr>
        <w:pStyle w:val="2"/>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952"/>
        <w:gridCol w:w="860"/>
        <w:gridCol w:w="860"/>
        <w:gridCol w:w="855"/>
        <w:gridCol w:w="860"/>
        <w:gridCol w:w="855"/>
        <w:gridCol w:w="846"/>
        <w:gridCol w:w="774"/>
        <w:gridCol w:w="774"/>
        <w:gridCol w:w="772"/>
      </w:tblGrid>
      <w:tr w14:paraId="659C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B105A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762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927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260A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51080021T000000050628-社会保险信息网络建设维护费</w:t>
            </w:r>
          </w:p>
        </w:tc>
      </w:tr>
      <w:tr w14:paraId="46E2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BEB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3EFB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09266354">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44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5160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34C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D24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4E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6B6FF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31A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4ABD6">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83DA">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AB04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维持社会保险费征收业务系统正常运行，业务办理顺畅，保障保险待遇正常支付和保险基金管理安全。</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271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社保网络安全稳固，无任何相关基金损失，有力维护参保单位和参保人员权益；社会保险业务系统正常稳定运行，各项业务经办平稳有序，未出现因系统原因导致大规模业务停办现象。</w:t>
            </w:r>
          </w:p>
        </w:tc>
      </w:tr>
      <w:tr w14:paraId="5E71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72701">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0D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28D1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全国统筹指标规范和统模式移交专项数据清理相关要求，全年对9个批次35796条问题数据开展核实清理工作，综合整改率达92.53%。按照市人社、公安、法院等7家单位共同发文《关于建立防范违规领取养老保险待遇常态化信息数据交换机制的通知》要求，定期开展数据交换3次，全部累计获取共享数据23万余条。持续推进社会保险档案信息化建设。全年完成社保信息系统权限调整1502笔。做好社保信息系统电子签名板、高拍仪、双目摄像头等外接设备调试、更新及日常维护等工作，采购配置电子签名板16台，确保各项社保业务经办平稳有序。在劳动大厦建成的我市首个24小时社保自助服务区内，采购部署2台社保一体自助查询机，提供高频事项24小时不打烊线下办理服务。</w:t>
            </w:r>
          </w:p>
        </w:tc>
      </w:tr>
      <w:tr w14:paraId="0F9F3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0B9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3E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B2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2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96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7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BF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4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2515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2B30E">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7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E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F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B10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0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75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B2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B8FA2">
            <w:pPr>
              <w:rPr>
                <w:rFonts w:hint="eastAsia" w:ascii="黑体" w:hAnsi="黑体" w:eastAsia="黑体" w:cs="黑体"/>
                <w:i/>
                <w:iCs/>
                <w:color w:val="000000"/>
                <w:sz w:val="18"/>
                <w:szCs w:val="18"/>
                <w:u w:val="none"/>
              </w:rPr>
            </w:pPr>
          </w:p>
        </w:tc>
      </w:tr>
      <w:tr w14:paraId="5C369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B03D5">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7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6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03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ACB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3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1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85E3F">
            <w:pPr>
              <w:rPr>
                <w:rFonts w:hint="eastAsia" w:ascii="黑体" w:hAnsi="黑体" w:eastAsia="黑体" w:cs="黑体"/>
                <w:i/>
                <w:iCs/>
                <w:color w:val="000000"/>
                <w:sz w:val="18"/>
                <w:szCs w:val="18"/>
                <w:u w:val="none"/>
              </w:rPr>
            </w:pPr>
          </w:p>
        </w:tc>
      </w:tr>
      <w:tr w14:paraId="24875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6F330">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CB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E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92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17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2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33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43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7D020">
            <w:pPr>
              <w:rPr>
                <w:rFonts w:hint="eastAsia" w:ascii="黑体" w:hAnsi="黑体" w:eastAsia="黑体" w:cs="黑体"/>
                <w:i/>
                <w:iCs/>
                <w:color w:val="000000"/>
                <w:sz w:val="18"/>
                <w:szCs w:val="18"/>
                <w:u w:val="none"/>
              </w:rPr>
            </w:pPr>
          </w:p>
        </w:tc>
      </w:tr>
      <w:tr w14:paraId="7539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3F46">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E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4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0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A7E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83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2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4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3EFA8">
            <w:pPr>
              <w:rPr>
                <w:rFonts w:hint="eastAsia" w:ascii="黑体" w:hAnsi="黑体" w:eastAsia="黑体" w:cs="黑体"/>
                <w:i/>
                <w:iCs/>
                <w:color w:val="000000"/>
                <w:sz w:val="18"/>
                <w:szCs w:val="18"/>
                <w:u w:val="none"/>
              </w:rPr>
            </w:pPr>
          </w:p>
        </w:tc>
      </w:tr>
      <w:tr w14:paraId="3509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B62A0">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07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75AF">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71E">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3BE7E">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C2EF">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55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49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72C00">
            <w:pPr>
              <w:rPr>
                <w:rFonts w:hint="eastAsia" w:ascii="黑体" w:hAnsi="黑体" w:eastAsia="黑体" w:cs="黑体"/>
                <w:i/>
                <w:iCs/>
                <w:color w:val="000000"/>
                <w:sz w:val="18"/>
                <w:szCs w:val="18"/>
                <w:u w:val="none"/>
              </w:rPr>
            </w:pPr>
          </w:p>
        </w:tc>
      </w:tr>
      <w:tr w14:paraId="61A7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CE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9D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9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7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62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C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9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7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9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A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B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B31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2318">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20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0F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高拍仪</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A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4F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A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2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5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78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5B86">
            <w:pPr>
              <w:jc w:val="center"/>
              <w:rPr>
                <w:rFonts w:hint="eastAsia" w:ascii="微软雅黑" w:hAnsi="微软雅黑" w:eastAsia="微软雅黑" w:cs="微软雅黑"/>
                <w:i/>
                <w:iCs/>
                <w:color w:val="000000"/>
                <w:sz w:val="16"/>
                <w:szCs w:val="16"/>
                <w:u w:val="none"/>
              </w:rPr>
            </w:pPr>
          </w:p>
        </w:tc>
      </w:tr>
      <w:tr w14:paraId="7688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D7762">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2E204">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8A3C">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74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读卡器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3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5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5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4C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9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2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DE12">
            <w:pPr>
              <w:jc w:val="center"/>
              <w:rPr>
                <w:rFonts w:hint="eastAsia" w:ascii="微软雅黑" w:hAnsi="微软雅黑" w:eastAsia="微软雅黑" w:cs="微软雅黑"/>
                <w:i/>
                <w:iCs/>
                <w:color w:val="000000"/>
                <w:sz w:val="16"/>
                <w:szCs w:val="16"/>
                <w:u w:val="none"/>
              </w:rPr>
            </w:pPr>
          </w:p>
        </w:tc>
      </w:tr>
      <w:tr w14:paraId="7ED02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FA75A">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E7CF">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112C8">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6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签字板</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FF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C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8B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A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7B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C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FE7F">
            <w:pPr>
              <w:jc w:val="center"/>
              <w:rPr>
                <w:rFonts w:hint="eastAsia" w:ascii="微软雅黑" w:hAnsi="微软雅黑" w:eastAsia="微软雅黑" w:cs="微软雅黑"/>
                <w:i/>
                <w:iCs/>
                <w:color w:val="000000"/>
                <w:sz w:val="16"/>
                <w:szCs w:val="16"/>
                <w:u w:val="none"/>
              </w:rPr>
            </w:pPr>
          </w:p>
        </w:tc>
      </w:tr>
      <w:tr w14:paraId="03D0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51717">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4C24">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D4F5">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C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办公电脑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0D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7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0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A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66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C2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9683">
            <w:pPr>
              <w:jc w:val="center"/>
              <w:rPr>
                <w:rFonts w:hint="eastAsia" w:ascii="微软雅黑" w:hAnsi="微软雅黑" w:eastAsia="微软雅黑" w:cs="微软雅黑"/>
                <w:i/>
                <w:iCs/>
                <w:color w:val="000000"/>
                <w:sz w:val="16"/>
                <w:szCs w:val="16"/>
                <w:u w:val="none"/>
              </w:rPr>
            </w:pPr>
          </w:p>
        </w:tc>
      </w:tr>
      <w:tr w14:paraId="6409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C75DF">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7192E">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3239C">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9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双目摄像头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0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4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7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E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4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5E10">
            <w:pPr>
              <w:jc w:val="center"/>
              <w:rPr>
                <w:rFonts w:hint="eastAsia" w:ascii="微软雅黑" w:hAnsi="微软雅黑" w:eastAsia="微软雅黑" w:cs="微软雅黑"/>
                <w:i/>
                <w:iCs/>
                <w:color w:val="000000"/>
                <w:sz w:val="16"/>
                <w:szCs w:val="16"/>
                <w:u w:val="none"/>
              </w:rPr>
            </w:pPr>
          </w:p>
        </w:tc>
      </w:tr>
      <w:tr w14:paraId="4CE0B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633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0EB1B">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8658F">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AD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多功能打印机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82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93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9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CB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9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807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7B11">
            <w:pPr>
              <w:jc w:val="center"/>
              <w:rPr>
                <w:rFonts w:hint="eastAsia" w:ascii="微软雅黑" w:hAnsi="微软雅黑" w:eastAsia="微软雅黑" w:cs="微软雅黑"/>
                <w:i/>
                <w:iCs/>
                <w:color w:val="000000"/>
                <w:sz w:val="16"/>
                <w:szCs w:val="16"/>
                <w:u w:val="none"/>
              </w:rPr>
            </w:pPr>
          </w:p>
        </w:tc>
      </w:tr>
      <w:tr w14:paraId="000A0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C5FE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63B11">
            <w:pPr>
              <w:jc w:val="center"/>
              <w:rPr>
                <w:rFonts w:hint="eastAsia" w:ascii="宋体" w:hAnsi="宋体" w:eastAsia="宋体" w:cs="宋体"/>
                <w:i w:val="0"/>
                <w:iCs w:val="0"/>
                <w:color w:val="000000"/>
                <w:sz w:val="18"/>
                <w:szCs w:val="18"/>
                <w:u w:val="none"/>
              </w:rPr>
            </w:pP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E9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B5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系统正常运行率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71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8D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1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0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17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B7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C5E8">
            <w:pPr>
              <w:jc w:val="center"/>
              <w:rPr>
                <w:rFonts w:hint="eastAsia" w:ascii="微软雅黑" w:hAnsi="微软雅黑" w:eastAsia="微软雅黑" w:cs="微软雅黑"/>
                <w:i/>
                <w:iCs/>
                <w:color w:val="000000"/>
                <w:sz w:val="16"/>
                <w:szCs w:val="16"/>
                <w:u w:val="none"/>
              </w:rPr>
            </w:pPr>
          </w:p>
        </w:tc>
      </w:tr>
      <w:tr w14:paraId="495C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18DAB">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A8049">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28B4">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48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验收合格率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9C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64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9C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4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6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C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18D1">
            <w:pPr>
              <w:jc w:val="center"/>
              <w:rPr>
                <w:rFonts w:hint="eastAsia" w:ascii="微软雅黑" w:hAnsi="微软雅黑" w:eastAsia="微软雅黑" w:cs="微软雅黑"/>
                <w:i/>
                <w:iCs/>
                <w:color w:val="000000"/>
                <w:sz w:val="16"/>
                <w:szCs w:val="16"/>
                <w:u w:val="none"/>
              </w:rPr>
            </w:pPr>
          </w:p>
        </w:tc>
      </w:tr>
      <w:tr w14:paraId="1F70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9707">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BDD7B">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F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项目完成时间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F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D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7FE2">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2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2023年12月前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5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4F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1E51">
            <w:pPr>
              <w:jc w:val="center"/>
              <w:rPr>
                <w:rFonts w:hint="eastAsia" w:ascii="微软雅黑" w:hAnsi="微软雅黑" w:eastAsia="微软雅黑" w:cs="微软雅黑"/>
                <w:i/>
                <w:iCs/>
                <w:color w:val="000000"/>
                <w:sz w:val="16"/>
                <w:szCs w:val="16"/>
                <w:u w:val="none"/>
              </w:rPr>
            </w:pPr>
          </w:p>
        </w:tc>
      </w:tr>
      <w:tr w14:paraId="0A41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0889E">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645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71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D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提高社会保险业务经办效率方面的影响程度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0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F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A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A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D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1199">
            <w:pPr>
              <w:jc w:val="center"/>
              <w:rPr>
                <w:rFonts w:hint="eastAsia" w:ascii="微软雅黑" w:hAnsi="微软雅黑" w:eastAsia="微软雅黑" w:cs="微软雅黑"/>
                <w:i/>
                <w:iCs/>
                <w:color w:val="000000"/>
                <w:sz w:val="16"/>
                <w:szCs w:val="16"/>
                <w:u w:val="none"/>
              </w:rPr>
            </w:pPr>
          </w:p>
        </w:tc>
      </w:tr>
      <w:tr w14:paraId="3A50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387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B3AD">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6E0BB">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5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对办理社会保险业务经办稳定性方面的影响程度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A0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5D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D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D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2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02B7">
            <w:pPr>
              <w:jc w:val="center"/>
              <w:rPr>
                <w:rFonts w:hint="eastAsia" w:ascii="微软雅黑" w:hAnsi="微软雅黑" w:eastAsia="微软雅黑" w:cs="微软雅黑"/>
                <w:i/>
                <w:iCs/>
                <w:color w:val="000000"/>
                <w:sz w:val="16"/>
                <w:szCs w:val="16"/>
                <w:u w:val="none"/>
              </w:rPr>
            </w:pPr>
          </w:p>
        </w:tc>
      </w:tr>
      <w:tr w14:paraId="4BEB6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D458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6E63">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A9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A0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信息化系统上线运行后的设备利用率以及应用系统实现率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6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5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1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A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5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2C3B">
            <w:pPr>
              <w:jc w:val="center"/>
              <w:rPr>
                <w:rFonts w:hint="eastAsia" w:ascii="微软雅黑" w:hAnsi="微软雅黑" w:eastAsia="微软雅黑" w:cs="微软雅黑"/>
                <w:i/>
                <w:iCs/>
                <w:color w:val="000000"/>
                <w:sz w:val="16"/>
                <w:szCs w:val="16"/>
                <w:u w:val="none"/>
              </w:rPr>
            </w:pPr>
          </w:p>
        </w:tc>
      </w:tr>
      <w:tr w14:paraId="5D2F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B7CBC">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3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3C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8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参保单位和群众对社会保险业务经办的满意程度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C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7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4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27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3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50DA">
            <w:pPr>
              <w:jc w:val="center"/>
              <w:rPr>
                <w:rFonts w:hint="eastAsia" w:ascii="微软雅黑" w:hAnsi="微软雅黑" w:eastAsia="微软雅黑" w:cs="微软雅黑"/>
                <w:i/>
                <w:iCs/>
                <w:color w:val="000000"/>
                <w:sz w:val="16"/>
                <w:szCs w:val="16"/>
                <w:u w:val="none"/>
              </w:rPr>
            </w:pPr>
          </w:p>
        </w:tc>
      </w:tr>
      <w:tr w14:paraId="5CD7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1444F">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A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B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6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软、硬件采购成本</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38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0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3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B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10.22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5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D9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053D">
            <w:pPr>
              <w:jc w:val="center"/>
              <w:rPr>
                <w:rFonts w:hint="eastAsia" w:ascii="微软雅黑" w:hAnsi="微软雅黑" w:eastAsia="微软雅黑" w:cs="微软雅黑"/>
                <w:i/>
                <w:iCs/>
                <w:color w:val="000000"/>
                <w:sz w:val="16"/>
                <w:szCs w:val="16"/>
                <w:u w:val="none"/>
              </w:rPr>
            </w:pPr>
          </w:p>
        </w:tc>
      </w:tr>
      <w:tr w14:paraId="3CFC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D673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7A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8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86B">
            <w:pPr>
              <w:rPr>
                <w:rFonts w:hint="eastAsia" w:ascii="宋体" w:hAnsi="宋体" w:eastAsia="宋体" w:cs="宋体"/>
                <w:i w:val="0"/>
                <w:iCs w:val="0"/>
                <w:color w:val="000000"/>
                <w:sz w:val="18"/>
                <w:szCs w:val="18"/>
                <w:u w:val="none"/>
              </w:rPr>
            </w:pPr>
          </w:p>
        </w:tc>
      </w:tr>
      <w:tr w14:paraId="2ABEF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2D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70CF8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2023年社会保险信息网络建设维护项目支出完成了预算绩效目标，自评得分100分。社保核心业务经办系统（共建版）平稳有序运行。社保网络安全稳固，无任何相关基金损失，有力维护参保单位和参保人员权益。</w:t>
            </w:r>
          </w:p>
        </w:tc>
      </w:tr>
      <w:tr w14:paraId="64A8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FFCDF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1.资金支付时间集中在下半年；2.绩效管理力度有待进一步加强。</w:t>
            </w:r>
          </w:p>
        </w:tc>
      </w:tr>
      <w:tr w14:paraId="11534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5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2F3B4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支付流程，合理安排项目实施时间，加快预算执行进度，提高财政资金使用质效。加强绩效管理工作的学习和培训力度，增强绩效管理意识，强化绩效结果应用，从预算编制、预算执行到决算报告，将绩效管理工作贯穿于整个资金使用过程。</w:t>
            </w:r>
          </w:p>
        </w:tc>
      </w:tr>
      <w:tr w14:paraId="2CAB7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8A90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项目负责人：郭泽霖</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7236E1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5B8B7F2B">
      <w:pPr>
        <w:spacing w:line="600" w:lineRule="exact"/>
        <w:jc w:val="left"/>
        <w:rPr>
          <w:rFonts w:ascii="仿宋_GB2312" w:hAnsi="Calibri" w:eastAsia="仿宋_GB2312" w:cs="仿宋"/>
          <w:kern w:val="0"/>
          <w:sz w:val="32"/>
          <w:szCs w:val="32"/>
        </w:rPr>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952"/>
        <w:gridCol w:w="860"/>
        <w:gridCol w:w="860"/>
        <w:gridCol w:w="855"/>
        <w:gridCol w:w="860"/>
        <w:gridCol w:w="855"/>
        <w:gridCol w:w="846"/>
        <w:gridCol w:w="774"/>
        <w:gridCol w:w="774"/>
        <w:gridCol w:w="772"/>
      </w:tblGrid>
      <w:tr w14:paraId="3F97A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B97092">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625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31F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8C38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51080021T000000050633-社会保险全民参保工作专项经费</w:t>
            </w:r>
          </w:p>
        </w:tc>
      </w:tr>
      <w:tr w14:paraId="580C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2DC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7656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4A3A397B">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117C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3BDB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7B6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524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DA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D3661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A12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DCEFB">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BF9B">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803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根据《四川省人民政府办公厅关于做好社会保险费和非税收入征管职责划转工作的实施意见》要求，做好社会保险参保登记工作，完成2023年社会保险目标任务。</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AE67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全市城镇职工基本养老保险参保68.35万人，养老保险参保人数189.4万人，工伤保险参保23.75万人，失业保险参保18.15万人，全面完成目标任务。</w:t>
            </w:r>
          </w:p>
        </w:tc>
      </w:tr>
      <w:tr w14:paraId="4EEB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52B0F">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3D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440E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市城镇职工基本养老保险参保68.35万人，完成目标任务66.84万人的102.3%，其中执行企业制度在职职工34.36万人，完成目标任务33.17万人的102.5%；养老保险参保人数189.4万人，完成目标任务189.04万人的100.2%，工伤保险参保23.75万人，完成目标任务23.42万人的101.4%；失业保险参保18.15万人，完成目标任务18万人的100.8%。新开工工程建设项目参加工伤保险参保率97%，完成97%。</w:t>
            </w:r>
          </w:p>
        </w:tc>
      </w:tr>
      <w:tr w14:paraId="063E9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61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B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DC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E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886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A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7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A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7C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72E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B83AA">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7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4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39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9FB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88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2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6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04FD8">
            <w:pPr>
              <w:rPr>
                <w:rFonts w:hint="eastAsia" w:ascii="黑体" w:hAnsi="黑体" w:eastAsia="黑体" w:cs="黑体"/>
                <w:i/>
                <w:iCs/>
                <w:color w:val="000000"/>
                <w:sz w:val="18"/>
                <w:szCs w:val="18"/>
                <w:u w:val="none"/>
              </w:rPr>
            </w:pPr>
          </w:p>
        </w:tc>
      </w:tr>
      <w:tr w14:paraId="40DB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05917">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F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7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E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435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39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F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E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BB652">
            <w:pPr>
              <w:rPr>
                <w:rFonts w:hint="eastAsia" w:ascii="黑体" w:hAnsi="黑体" w:eastAsia="黑体" w:cs="黑体"/>
                <w:i/>
                <w:iCs/>
                <w:color w:val="000000"/>
                <w:sz w:val="18"/>
                <w:szCs w:val="18"/>
                <w:u w:val="none"/>
              </w:rPr>
            </w:pPr>
          </w:p>
        </w:tc>
      </w:tr>
      <w:tr w14:paraId="119B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1CB2">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5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5A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F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FF3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35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C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4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E2FB">
            <w:pPr>
              <w:rPr>
                <w:rFonts w:hint="eastAsia" w:ascii="黑体" w:hAnsi="黑体" w:eastAsia="黑体" w:cs="黑体"/>
                <w:i/>
                <w:iCs/>
                <w:color w:val="000000"/>
                <w:sz w:val="18"/>
                <w:szCs w:val="18"/>
                <w:u w:val="none"/>
              </w:rPr>
            </w:pPr>
          </w:p>
        </w:tc>
      </w:tr>
      <w:tr w14:paraId="1A29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48CF">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2B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A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D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8D1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D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F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4F2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E7F4">
            <w:pPr>
              <w:rPr>
                <w:rFonts w:hint="eastAsia" w:ascii="黑体" w:hAnsi="黑体" w:eastAsia="黑体" w:cs="黑体"/>
                <w:i/>
                <w:iCs/>
                <w:color w:val="000000"/>
                <w:sz w:val="18"/>
                <w:szCs w:val="18"/>
                <w:u w:val="none"/>
              </w:rPr>
            </w:pPr>
          </w:p>
        </w:tc>
      </w:tr>
      <w:tr w14:paraId="5ECD5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264F9">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A6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A085">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0CD5">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84900">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11B9">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2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5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D87BC">
            <w:pPr>
              <w:rPr>
                <w:rFonts w:hint="eastAsia" w:ascii="黑体" w:hAnsi="黑体" w:eastAsia="黑体" w:cs="黑体"/>
                <w:i/>
                <w:iCs/>
                <w:color w:val="000000"/>
                <w:sz w:val="18"/>
                <w:szCs w:val="18"/>
                <w:u w:val="none"/>
              </w:rPr>
            </w:pPr>
          </w:p>
        </w:tc>
      </w:tr>
      <w:tr w14:paraId="2680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EF7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4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0E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D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4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2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4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3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2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85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2C3D">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7F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A3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95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邮寄养老转移单份数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A4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1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B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57C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0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7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230C">
            <w:pPr>
              <w:jc w:val="center"/>
              <w:rPr>
                <w:rFonts w:hint="eastAsia" w:ascii="微软雅黑" w:hAnsi="微软雅黑" w:eastAsia="微软雅黑" w:cs="微软雅黑"/>
                <w:i/>
                <w:iCs/>
                <w:color w:val="000000"/>
                <w:sz w:val="16"/>
                <w:szCs w:val="16"/>
                <w:u w:val="none"/>
              </w:rPr>
            </w:pPr>
          </w:p>
        </w:tc>
      </w:tr>
      <w:tr w14:paraId="273A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EFF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E3194">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E180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E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全市工伤保险参保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7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6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BA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4E3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23.75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0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2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BC5D">
            <w:pPr>
              <w:jc w:val="center"/>
              <w:rPr>
                <w:rFonts w:hint="eastAsia" w:ascii="微软雅黑" w:hAnsi="微软雅黑" w:eastAsia="微软雅黑" w:cs="微软雅黑"/>
                <w:i/>
                <w:iCs/>
                <w:color w:val="000000"/>
                <w:sz w:val="16"/>
                <w:szCs w:val="16"/>
                <w:u w:val="none"/>
              </w:rPr>
            </w:pPr>
          </w:p>
        </w:tc>
      </w:tr>
      <w:tr w14:paraId="2C25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197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241EE">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77CFD">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9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全市在职职工企业基本养老保险参保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03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89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34.17</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9A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050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34.36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7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95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FF38">
            <w:pPr>
              <w:jc w:val="center"/>
              <w:rPr>
                <w:rFonts w:hint="eastAsia" w:ascii="微软雅黑" w:hAnsi="微软雅黑" w:eastAsia="微软雅黑" w:cs="微软雅黑"/>
                <w:i/>
                <w:iCs/>
                <w:color w:val="000000"/>
                <w:sz w:val="16"/>
                <w:szCs w:val="16"/>
                <w:u w:val="none"/>
              </w:rPr>
            </w:pPr>
          </w:p>
        </w:tc>
      </w:tr>
      <w:tr w14:paraId="42AC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EA8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9A7B0">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6F0D">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00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政策宣传次数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D2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8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A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CCB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1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B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B26">
            <w:pPr>
              <w:jc w:val="center"/>
              <w:rPr>
                <w:rFonts w:hint="eastAsia" w:ascii="微软雅黑" w:hAnsi="微软雅黑" w:eastAsia="微软雅黑" w:cs="微软雅黑"/>
                <w:i/>
                <w:iCs/>
                <w:color w:val="000000"/>
                <w:sz w:val="16"/>
                <w:szCs w:val="16"/>
                <w:u w:val="none"/>
              </w:rPr>
            </w:pPr>
          </w:p>
        </w:tc>
      </w:tr>
      <w:tr w14:paraId="19DB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EDE9A">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B39E9">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8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5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8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BC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8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5C6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FC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9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D559">
            <w:pPr>
              <w:jc w:val="center"/>
              <w:rPr>
                <w:rFonts w:hint="eastAsia" w:ascii="微软雅黑" w:hAnsi="微软雅黑" w:eastAsia="微软雅黑" w:cs="微软雅黑"/>
                <w:i/>
                <w:iCs/>
                <w:color w:val="000000"/>
                <w:sz w:val="16"/>
                <w:szCs w:val="16"/>
                <w:u w:val="none"/>
              </w:rPr>
            </w:pPr>
          </w:p>
        </w:tc>
      </w:tr>
      <w:tr w14:paraId="3CFC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05C82">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26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BEB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对社会的积极影响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6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A4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提高社会保险覆盖率，使人民群众老有所养，促进社会稳定</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021F">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0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有效促进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2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9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BF8">
            <w:pPr>
              <w:jc w:val="center"/>
              <w:rPr>
                <w:rFonts w:hint="eastAsia" w:ascii="微软雅黑" w:hAnsi="微软雅黑" w:eastAsia="微软雅黑" w:cs="微软雅黑"/>
                <w:i/>
                <w:iCs/>
                <w:color w:val="000000"/>
                <w:sz w:val="16"/>
                <w:szCs w:val="16"/>
                <w:u w:val="none"/>
              </w:rPr>
            </w:pPr>
          </w:p>
        </w:tc>
      </w:tr>
      <w:tr w14:paraId="79D6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9F9F">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9E36D">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33D72">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8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对基金的影响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CA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D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做好参保扩面工作，有助于增加社保基金收入，为各项社保待遇按时足额发放提供保障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0A9A">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F8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有效促进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5A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BF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6120">
            <w:pPr>
              <w:jc w:val="center"/>
              <w:rPr>
                <w:rFonts w:hint="eastAsia" w:ascii="微软雅黑" w:hAnsi="微软雅黑" w:eastAsia="微软雅黑" w:cs="微软雅黑"/>
                <w:i/>
                <w:iCs/>
                <w:color w:val="000000"/>
                <w:sz w:val="16"/>
                <w:szCs w:val="16"/>
                <w:u w:val="none"/>
              </w:rPr>
            </w:pPr>
          </w:p>
        </w:tc>
      </w:tr>
      <w:tr w14:paraId="1346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15C2">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6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6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7E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7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1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7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E8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6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A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CE80">
            <w:pPr>
              <w:jc w:val="center"/>
              <w:rPr>
                <w:rFonts w:hint="eastAsia" w:ascii="微软雅黑" w:hAnsi="微软雅黑" w:eastAsia="微软雅黑" w:cs="微软雅黑"/>
                <w:i/>
                <w:iCs/>
                <w:color w:val="000000"/>
                <w:sz w:val="16"/>
                <w:szCs w:val="16"/>
                <w:u w:val="none"/>
              </w:rPr>
            </w:pPr>
          </w:p>
        </w:tc>
      </w:tr>
      <w:tr w14:paraId="4708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1618">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31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14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E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社保政策宣传</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BC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39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74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F2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0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AA15">
            <w:pPr>
              <w:jc w:val="center"/>
              <w:rPr>
                <w:rFonts w:hint="eastAsia" w:ascii="微软雅黑" w:hAnsi="微软雅黑" w:eastAsia="微软雅黑" w:cs="微软雅黑"/>
                <w:i/>
                <w:iCs/>
                <w:color w:val="000000"/>
                <w:sz w:val="16"/>
                <w:szCs w:val="16"/>
                <w:u w:val="none"/>
              </w:rPr>
            </w:pPr>
          </w:p>
        </w:tc>
      </w:tr>
      <w:tr w14:paraId="42DEE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3443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5123">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D6C8F">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2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经办服务下延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01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3A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37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34A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8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8A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01D8">
            <w:pPr>
              <w:jc w:val="center"/>
              <w:rPr>
                <w:rFonts w:hint="eastAsia" w:ascii="微软雅黑" w:hAnsi="微软雅黑" w:eastAsia="微软雅黑" w:cs="微软雅黑"/>
                <w:i/>
                <w:iCs/>
                <w:color w:val="000000"/>
                <w:sz w:val="16"/>
                <w:szCs w:val="16"/>
                <w:u w:val="none"/>
              </w:rPr>
            </w:pPr>
          </w:p>
        </w:tc>
      </w:tr>
      <w:tr w14:paraId="3328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8C2CF">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C3027">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5A10C">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C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精准扩面专项行动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A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BA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17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F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D1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8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968">
            <w:pPr>
              <w:jc w:val="center"/>
              <w:rPr>
                <w:rFonts w:hint="eastAsia" w:ascii="微软雅黑" w:hAnsi="微软雅黑" w:eastAsia="微软雅黑" w:cs="微软雅黑"/>
                <w:i/>
                <w:iCs/>
                <w:color w:val="000000"/>
                <w:sz w:val="16"/>
                <w:szCs w:val="16"/>
                <w:u w:val="none"/>
              </w:rPr>
            </w:pPr>
          </w:p>
        </w:tc>
      </w:tr>
      <w:tr w14:paraId="4882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75B32">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B7DF2">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75C15">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92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邮寄养老转移单</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0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D7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9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A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9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2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B02">
            <w:pPr>
              <w:jc w:val="center"/>
              <w:rPr>
                <w:rFonts w:hint="eastAsia" w:ascii="微软雅黑" w:hAnsi="微软雅黑" w:eastAsia="微软雅黑" w:cs="微软雅黑"/>
                <w:i/>
                <w:iCs/>
                <w:color w:val="000000"/>
                <w:sz w:val="16"/>
                <w:szCs w:val="16"/>
                <w:u w:val="none"/>
              </w:rPr>
            </w:pPr>
          </w:p>
        </w:tc>
      </w:tr>
      <w:tr w14:paraId="1DF7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6CDA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4D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AD1E">
            <w:pPr>
              <w:rPr>
                <w:rFonts w:hint="eastAsia" w:ascii="宋体" w:hAnsi="宋体" w:eastAsia="宋体" w:cs="宋体"/>
                <w:i w:val="0"/>
                <w:iCs w:val="0"/>
                <w:color w:val="000000"/>
                <w:sz w:val="18"/>
                <w:szCs w:val="18"/>
                <w:u w:val="none"/>
              </w:rPr>
            </w:pPr>
          </w:p>
        </w:tc>
      </w:tr>
      <w:tr w14:paraId="7CB3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A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C0B66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2023年社会保险全民参保工作专项经费项目支出完成了预算绩效目标，自评得分100分。进一步扩大参保范围，实现了社保基金收支平衡，切实维护了劳动者合法权益。</w:t>
            </w:r>
          </w:p>
        </w:tc>
      </w:tr>
      <w:tr w14:paraId="4E89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39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FF4A2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1.支付集中在下半年；2.每年度的参保对象数量增加，全民参保工作量增大，参保扩面难度增强。</w:t>
            </w:r>
          </w:p>
        </w:tc>
      </w:tr>
      <w:tr w14:paraId="26E5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8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5BBBC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严格支付流程，合理安排项目实施时间，加快预算执行进度，严格执行专款专用，提高财政资金使用质效。</w:t>
            </w:r>
          </w:p>
        </w:tc>
      </w:tr>
      <w:tr w14:paraId="373F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8E5BB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项目负责人：罗加明</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075A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0764F6EA">
      <w:pPr>
        <w:spacing w:line="600" w:lineRule="exact"/>
        <w:jc w:val="left"/>
        <w:rPr>
          <w:rFonts w:ascii="仿宋_GB2312" w:hAnsi="Calibri" w:eastAsia="仿宋_GB2312" w:cs="仿宋"/>
          <w:kern w:val="0"/>
          <w:sz w:val="32"/>
          <w:szCs w:val="32"/>
        </w:rPr>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952"/>
        <w:gridCol w:w="860"/>
        <w:gridCol w:w="860"/>
        <w:gridCol w:w="855"/>
        <w:gridCol w:w="858"/>
        <w:gridCol w:w="855"/>
        <w:gridCol w:w="846"/>
        <w:gridCol w:w="774"/>
        <w:gridCol w:w="775"/>
        <w:gridCol w:w="773"/>
      </w:tblGrid>
      <w:tr w14:paraId="2C91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05A38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EC8D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111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E88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51080021T000000050920-企保、机保代财政管理工作经费（原代管工作经费）</w:t>
            </w:r>
          </w:p>
        </w:tc>
      </w:tr>
      <w:tr w14:paraId="777D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025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DB6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4FEE61E8">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4D49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2D83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1E32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9E4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FDE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2D217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4BC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B6590">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7BA4">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BDE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协助政府代发放离休、退休人员遗孀困难补助等不属于养老基金统筹范围内支付的项目，开展退管活动，减轻财政工作负担</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4F96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保证了离退休人员待遇按时足额发放,使为国家做出贡献者老有所养，减轻了财政工作负担，维护了社会稳定。</w:t>
            </w:r>
          </w:p>
        </w:tc>
      </w:tr>
      <w:tr w14:paraId="374B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378C0">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59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72547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社保中心代财政发放离休人员公务员津贴17人，成铁划转87人，081中学教师20人，劳模5人，征地保障6人，干警1人，甘川差22人,全额拨款事业单位离休人员离休费9人；企业退休副县级人员享受事业单位待遇3人；企业离休人员遗孀生活补助11人；建国初期参加革命工作人员适当生活补贴57人，共计238人。代财政发放离休人员生活补贴686.28万元。</w:t>
            </w:r>
          </w:p>
        </w:tc>
      </w:tr>
      <w:tr w14:paraId="62D2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0AF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E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1D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7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1BA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F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A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75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4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49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0BFF8">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F0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4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0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357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D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9F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5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6037B">
            <w:pPr>
              <w:rPr>
                <w:rFonts w:hint="eastAsia" w:ascii="黑体" w:hAnsi="黑体" w:eastAsia="黑体" w:cs="黑体"/>
                <w:i/>
                <w:iCs/>
                <w:color w:val="000000"/>
                <w:sz w:val="18"/>
                <w:szCs w:val="18"/>
                <w:u w:val="none"/>
              </w:rPr>
            </w:pPr>
          </w:p>
        </w:tc>
      </w:tr>
      <w:tr w14:paraId="01BF3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4BA5D">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5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4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3B7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79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4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AC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1194">
            <w:pPr>
              <w:rPr>
                <w:rFonts w:hint="eastAsia" w:ascii="黑体" w:hAnsi="黑体" w:eastAsia="黑体" w:cs="黑体"/>
                <w:i/>
                <w:iCs/>
                <w:color w:val="000000"/>
                <w:sz w:val="18"/>
                <w:szCs w:val="18"/>
                <w:u w:val="none"/>
              </w:rPr>
            </w:pPr>
          </w:p>
        </w:tc>
      </w:tr>
      <w:tr w14:paraId="62C2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20580">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9F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7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8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C2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A2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2E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D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0048D">
            <w:pPr>
              <w:rPr>
                <w:rFonts w:hint="eastAsia" w:ascii="黑体" w:hAnsi="黑体" w:eastAsia="黑体" w:cs="黑体"/>
                <w:i/>
                <w:iCs/>
                <w:color w:val="000000"/>
                <w:sz w:val="18"/>
                <w:szCs w:val="18"/>
                <w:u w:val="none"/>
              </w:rPr>
            </w:pPr>
          </w:p>
        </w:tc>
      </w:tr>
      <w:tr w14:paraId="7325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8DE11">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A8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98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F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6B7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A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F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22304">
            <w:pPr>
              <w:rPr>
                <w:rFonts w:hint="eastAsia" w:ascii="黑体" w:hAnsi="黑体" w:eastAsia="黑体" w:cs="黑体"/>
                <w:i/>
                <w:iCs/>
                <w:color w:val="000000"/>
                <w:sz w:val="18"/>
                <w:szCs w:val="18"/>
                <w:u w:val="none"/>
              </w:rPr>
            </w:pPr>
          </w:p>
        </w:tc>
      </w:tr>
      <w:tr w14:paraId="3085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EF855">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9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14B5">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B77E">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1FC61">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E5EE">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FA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81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9C2C">
            <w:pPr>
              <w:rPr>
                <w:rFonts w:hint="eastAsia" w:ascii="黑体" w:hAnsi="黑体" w:eastAsia="黑体" w:cs="黑体"/>
                <w:i/>
                <w:iCs/>
                <w:color w:val="000000"/>
                <w:sz w:val="18"/>
                <w:szCs w:val="18"/>
                <w:u w:val="none"/>
              </w:rPr>
            </w:pPr>
          </w:p>
        </w:tc>
      </w:tr>
      <w:tr w14:paraId="6A77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73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4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5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2B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62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7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8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7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2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6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5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5659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385D0">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AB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EC1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1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代财政发放企保离退休、劳模等人次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8B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6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33C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BB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F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04C3">
            <w:pPr>
              <w:jc w:val="center"/>
              <w:rPr>
                <w:rFonts w:hint="eastAsia" w:ascii="微软雅黑" w:hAnsi="微软雅黑" w:eastAsia="微软雅黑" w:cs="微软雅黑"/>
                <w:i/>
                <w:iCs/>
                <w:color w:val="000000"/>
                <w:sz w:val="16"/>
                <w:szCs w:val="16"/>
                <w:u w:val="none"/>
              </w:rPr>
            </w:pPr>
          </w:p>
        </w:tc>
      </w:tr>
      <w:tr w14:paraId="3F81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0E8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E9E5">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2632">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6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代财政发放机保离退休人次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58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54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C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DF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F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5B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83A1">
            <w:pPr>
              <w:jc w:val="center"/>
              <w:rPr>
                <w:rFonts w:hint="eastAsia" w:ascii="微软雅黑" w:hAnsi="微软雅黑" w:eastAsia="微软雅黑" w:cs="微软雅黑"/>
                <w:i/>
                <w:iCs/>
                <w:color w:val="000000"/>
                <w:sz w:val="16"/>
                <w:szCs w:val="16"/>
                <w:u w:val="none"/>
              </w:rPr>
            </w:pPr>
          </w:p>
        </w:tc>
      </w:tr>
      <w:tr w14:paraId="7A3EF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F36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8EBCC">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28617">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发放批次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7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BD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1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批次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50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E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F8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E4C7">
            <w:pPr>
              <w:jc w:val="center"/>
              <w:rPr>
                <w:rFonts w:hint="eastAsia" w:ascii="微软雅黑" w:hAnsi="微软雅黑" w:eastAsia="微软雅黑" w:cs="微软雅黑"/>
                <w:i/>
                <w:iCs/>
                <w:color w:val="000000"/>
                <w:sz w:val="16"/>
                <w:szCs w:val="16"/>
                <w:u w:val="none"/>
              </w:rPr>
            </w:pPr>
          </w:p>
        </w:tc>
      </w:tr>
      <w:tr w14:paraId="7154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7D5D">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1A5E">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6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7D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0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39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7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0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C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2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3A22">
            <w:pPr>
              <w:jc w:val="center"/>
              <w:rPr>
                <w:rFonts w:hint="eastAsia" w:ascii="微软雅黑" w:hAnsi="微软雅黑" w:eastAsia="微软雅黑" w:cs="微软雅黑"/>
                <w:i/>
                <w:iCs/>
                <w:color w:val="000000"/>
                <w:sz w:val="16"/>
                <w:szCs w:val="16"/>
                <w:u w:val="none"/>
              </w:rPr>
            </w:pPr>
          </w:p>
        </w:tc>
      </w:tr>
      <w:tr w14:paraId="0ADA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00C6">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D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02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9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确保相关离退休人员、遗孀基本生活正常发放率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E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A5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B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7C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B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4DB5">
            <w:pPr>
              <w:jc w:val="center"/>
              <w:rPr>
                <w:rFonts w:hint="eastAsia" w:ascii="微软雅黑" w:hAnsi="微软雅黑" w:eastAsia="微软雅黑" w:cs="微软雅黑"/>
                <w:i/>
                <w:iCs/>
                <w:color w:val="000000"/>
                <w:sz w:val="16"/>
                <w:szCs w:val="16"/>
                <w:u w:val="none"/>
              </w:rPr>
            </w:pPr>
          </w:p>
        </w:tc>
      </w:tr>
      <w:tr w14:paraId="7C33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A7A80">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3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70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B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B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4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7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3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7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774B">
            <w:pPr>
              <w:jc w:val="center"/>
              <w:rPr>
                <w:rFonts w:hint="eastAsia" w:ascii="微软雅黑" w:hAnsi="微软雅黑" w:eastAsia="微软雅黑" w:cs="微软雅黑"/>
                <w:i/>
                <w:iCs/>
                <w:color w:val="000000"/>
                <w:sz w:val="16"/>
                <w:szCs w:val="16"/>
                <w:u w:val="none"/>
              </w:rPr>
            </w:pPr>
          </w:p>
        </w:tc>
      </w:tr>
      <w:tr w14:paraId="274F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EDC5">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02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C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D7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代发离退休人员生活补贴管理经费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3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EC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1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F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4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4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902E">
            <w:pPr>
              <w:jc w:val="center"/>
              <w:rPr>
                <w:rFonts w:hint="eastAsia" w:ascii="微软雅黑" w:hAnsi="微软雅黑" w:eastAsia="微软雅黑" w:cs="微软雅黑"/>
                <w:i/>
                <w:iCs/>
                <w:color w:val="000000"/>
                <w:sz w:val="16"/>
                <w:szCs w:val="16"/>
                <w:u w:val="none"/>
              </w:rPr>
            </w:pPr>
          </w:p>
        </w:tc>
      </w:tr>
      <w:tr w14:paraId="364CF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123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A3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97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6D8F">
            <w:pPr>
              <w:rPr>
                <w:rFonts w:hint="eastAsia" w:ascii="宋体" w:hAnsi="宋体" w:eastAsia="宋体" w:cs="宋体"/>
                <w:i w:val="0"/>
                <w:iCs w:val="0"/>
                <w:color w:val="000000"/>
                <w:sz w:val="18"/>
                <w:szCs w:val="18"/>
                <w:u w:val="none"/>
              </w:rPr>
            </w:pPr>
          </w:p>
        </w:tc>
      </w:tr>
      <w:tr w14:paraId="7C4D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1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FBD36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企保、机保代财政管理工作经费项目支出完成了预算绩效目标，自评得分100分。代财政发放离休人员生活补贴238人，686.28万元。保证了离退休人员待遇按时足额发放,使为国家做出贡献者老有所养，减轻了财政工作负担，维护了社会稳定。</w:t>
            </w:r>
          </w:p>
        </w:tc>
      </w:tr>
      <w:tr w14:paraId="1A10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BA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E0634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项目绩效目标还需细化，绩效管理有待加强。</w:t>
            </w:r>
          </w:p>
        </w:tc>
      </w:tr>
      <w:tr w14:paraId="16D85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F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55569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1.做好年度项目预算，细化项目的申报；2.合理安排项目实施时间，严格执行专款专用，加快预算执行进度，提高财政资金使用质效</w:t>
            </w:r>
          </w:p>
        </w:tc>
      </w:tr>
      <w:tr w14:paraId="2C1C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8C1C2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项目负责人：石盼盼</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A8D8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209F3585">
      <w:pPr>
        <w:spacing w:line="600" w:lineRule="exact"/>
        <w:jc w:val="left"/>
        <w:rPr>
          <w:rFonts w:ascii="仿宋_GB2312" w:hAnsi="Calibri" w:eastAsia="仿宋_GB2312" w:cs="仿宋"/>
          <w:kern w:val="0"/>
          <w:sz w:val="32"/>
          <w:szCs w:val="32"/>
        </w:rPr>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952"/>
        <w:gridCol w:w="860"/>
        <w:gridCol w:w="860"/>
        <w:gridCol w:w="855"/>
        <w:gridCol w:w="860"/>
        <w:gridCol w:w="855"/>
        <w:gridCol w:w="846"/>
        <w:gridCol w:w="774"/>
        <w:gridCol w:w="774"/>
        <w:gridCol w:w="772"/>
      </w:tblGrid>
      <w:tr w14:paraId="7956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354F3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01AE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D2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6236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51080021T000000050926-年金征缴工作经费</w:t>
            </w:r>
          </w:p>
        </w:tc>
      </w:tr>
      <w:tr w14:paraId="0E109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17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A9C5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7F887249">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25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7991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C44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7B9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A1C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0F149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5D6A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0C8A">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FEA1C">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D92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通过对参保单位、县区经办单元开展职业年金政策业务宣传培训和接受上级业务指导培训，按规定征集基金，做到应收尽收，为确保按时足额发放打下基础。</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327B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过对参保单位、县区经办单元开展职业年金政策业务宣传培训和接收上级业务指导培训，按规定征集基金，“退一补一”做实年金，做到应收尽收，应补尽补，为确保按时足额发放打下基础，符合中央、省关于机关事业单位工作人员养老保险制度改革的要求，维护了全市干部职工权益。</w:t>
            </w:r>
          </w:p>
        </w:tc>
      </w:tr>
      <w:tr w14:paraId="46D9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CD1F8">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5C4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F1C5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职业年金征缴工作，按时足额完成基金征集目标任务；按规定做好职业年金记实工作，保障退休职工待遇；做好职业年金归集、转移接续工作，配合省局做好年金待遇省级集中统一发放和投资运营工作。通过对参保单位、县区经办单元开展职业年金政策业务宣传培训和接收上级业务指导培训，按规定征集基金，“退一补一”做实年金，做到应收尽收，应补尽补，为确保按时足额发放打下基础。</w:t>
            </w:r>
          </w:p>
        </w:tc>
      </w:tr>
      <w:tr w14:paraId="6457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15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E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B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6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E9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5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0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45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3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53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403D1">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2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D9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0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9C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42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9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C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6DD9C6">
            <w:pPr>
              <w:rPr>
                <w:rFonts w:hint="eastAsia" w:ascii="黑体" w:hAnsi="黑体" w:eastAsia="黑体" w:cs="黑体"/>
                <w:i/>
                <w:iCs/>
                <w:color w:val="000000"/>
                <w:sz w:val="18"/>
                <w:szCs w:val="18"/>
                <w:u w:val="none"/>
              </w:rPr>
            </w:pPr>
          </w:p>
        </w:tc>
      </w:tr>
      <w:tr w14:paraId="5BB3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9874">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4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A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1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C4B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0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2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E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36539">
            <w:pPr>
              <w:rPr>
                <w:rFonts w:hint="eastAsia" w:ascii="黑体" w:hAnsi="黑体" w:eastAsia="黑体" w:cs="黑体"/>
                <w:i/>
                <w:iCs/>
                <w:color w:val="000000"/>
                <w:sz w:val="18"/>
                <w:szCs w:val="18"/>
                <w:u w:val="none"/>
              </w:rPr>
            </w:pPr>
          </w:p>
        </w:tc>
      </w:tr>
      <w:tr w14:paraId="7BAF2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7EBB">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21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C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1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EC3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26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4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5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65B35">
            <w:pPr>
              <w:rPr>
                <w:rFonts w:hint="eastAsia" w:ascii="黑体" w:hAnsi="黑体" w:eastAsia="黑体" w:cs="黑体"/>
                <w:i/>
                <w:iCs/>
                <w:color w:val="000000"/>
                <w:sz w:val="18"/>
                <w:szCs w:val="18"/>
                <w:u w:val="none"/>
              </w:rPr>
            </w:pPr>
          </w:p>
        </w:tc>
      </w:tr>
      <w:tr w14:paraId="0F793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EC86B">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E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4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9C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C5D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47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B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7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B4060">
            <w:pPr>
              <w:rPr>
                <w:rFonts w:hint="eastAsia" w:ascii="黑体" w:hAnsi="黑体" w:eastAsia="黑体" w:cs="黑体"/>
                <w:i/>
                <w:iCs/>
                <w:color w:val="000000"/>
                <w:sz w:val="18"/>
                <w:szCs w:val="18"/>
                <w:u w:val="none"/>
              </w:rPr>
            </w:pPr>
          </w:p>
        </w:tc>
      </w:tr>
      <w:tr w14:paraId="0CD8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736B">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B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E03A">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2D03">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D344A">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F0AD">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20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8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46FC">
            <w:pPr>
              <w:rPr>
                <w:rFonts w:hint="eastAsia" w:ascii="黑体" w:hAnsi="黑体" w:eastAsia="黑体" w:cs="黑体"/>
                <w:i/>
                <w:iCs/>
                <w:color w:val="000000"/>
                <w:sz w:val="18"/>
                <w:szCs w:val="18"/>
                <w:u w:val="none"/>
              </w:rPr>
            </w:pPr>
          </w:p>
        </w:tc>
      </w:tr>
      <w:tr w14:paraId="1FE5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CB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8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D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0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2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5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E8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A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7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8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F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2EC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65D7A">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26D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54A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4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组织参保单位经办人员政策业务培训</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9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F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6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5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81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69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080B">
            <w:pPr>
              <w:jc w:val="center"/>
              <w:rPr>
                <w:rFonts w:hint="eastAsia" w:ascii="微软雅黑" w:hAnsi="微软雅黑" w:eastAsia="微软雅黑" w:cs="微软雅黑"/>
                <w:i/>
                <w:iCs/>
                <w:color w:val="000000"/>
                <w:sz w:val="16"/>
                <w:szCs w:val="16"/>
                <w:u w:val="none"/>
              </w:rPr>
            </w:pPr>
          </w:p>
        </w:tc>
      </w:tr>
      <w:tr w14:paraId="6924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9B62">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B7A3B">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7A035">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C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培训县区经办机构业务人员</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AD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B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5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2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4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7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DC81">
            <w:pPr>
              <w:jc w:val="center"/>
              <w:rPr>
                <w:rFonts w:hint="eastAsia" w:ascii="微软雅黑" w:hAnsi="微软雅黑" w:eastAsia="微软雅黑" w:cs="微软雅黑"/>
                <w:i/>
                <w:iCs/>
                <w:color w:val="000000"/>
                <w:sz w:val="16"/>
                <w:szCs w:val="16"/>
                <w:u w:val="none"/>
              </w:rPr>
            </w:pPr>
          </w:p>
        </w:tc>
      </w:tr>
      <w:tr w14:paraId="4A84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DD2D2">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05063">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79CB5">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B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业务培训人员覆盖率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5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D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D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8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1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AF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5007">
            <w:pPr>
              <w:jc w:val="center"/>
              <w:rPr>
                <w:rFonts w:hint="eastAsia" w:ascii="微软雅黑" w:hAnsi="微软雅黑" w:eastAsia="微软雅黑" w:cs="微软雅黑"/>
                <w:i/>
                <w:iCs/>
                <w:color w:val="000000"/>
                <w:sz w:val="16"/>
                <w:szCs w:val="16"/>
                <w:u w:val="none"/>
              </w:rPr>
            </w:pPr>
          </w:p>
        </w:tc>
      </w:tr>
      <w:tr w14:paraId="3656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FE59A">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9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F6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1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对社会的积极影响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C4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6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提高社会保险基金收入，提高退休人员待遇，使人民群众老有所养</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96852">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4D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有效促进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B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D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3818">
            <w:pPr>
              <w:jc w:val="center"/>
              <w:rPr>
                <w:rFonts w:hint="eastAsia" w:ascii="微软雅黑" w:hAnsi="微软雅黑" w:eastAsia="微软雅黑" w:cs="微软雅黑"/>
                <w:i/>
                <w:iCs/>
                <w:color w:val="000000"/>
                <w:sz w:val="16"/>
                <w:szCs w:val="16"/>
                <w:u w:val="none"/>
              </w:rPr>
            </w:pPr>
          </w:p>
        </w:tc>
      </w:tr>
      <w:tr w14:paraId="4E80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B7703">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79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9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76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参保对象满意度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8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1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A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E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1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6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2231">
            <w:pPr>
              <w:jc w:val="center"/>
              <w:rPr>
                <w:rFonts w:hint="eastAsia" w:ascii="微软雅黑" w:hAnsi="微软雅黑" w:eastAsia="微软雅黑" w:cs="微软雅黑"/>
                <w:i/>
                <w:iCs/>
                <w:color w:val="000000"/>
                <w:sz w:val="16"/>
                <w:szCs w:val="16"/>
                <w:u w:val="none"/>
              </w:rPr>
            </w:pPr>
          </w:p>
        </w:tc>
      </w:tr>
      <w:tr w14:paraId="192F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5723">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92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41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7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培训县区人员</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33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BF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3B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A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18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CE65">
            <w:pPr>
              <w:jc w:val="center"/>
              <w:rPr>
                <w:rFonts w:hint="eastAsia" w:ascii="微软雅黑" w:hAnsi="微软雅黑" w:eastAsia="微软雅黑" w:cs="微软雅黑"/>
                <w:i/>
                <w:iCs/>
                <w:color w:val="000000"/>
                <w:sz w:val="16"/>
                <w:szCs w:val="16"/>
                <w:u w:val="none"/>
              </w:rPr>
            </w:pPr>
          </w:p>
        </w:tc>
      </w:tr>
      <w:tr w14:paraId="4AB51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78E3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44C49">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77CB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9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催缴通知书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4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F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B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2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CD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B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3246">
            <w:pPr>
              <w:jc w:val="center"/>
              <w:rPr>
                <w:rFonts w:hint="eastAsia" w:ascii="微软雅黑" w:hAnsi="微软雅黑" w:eastAsia="微软雅黑" w:cs="微软雅黑"/>
                <w:i/>
                <w:iCs/>
                <w:color w:val="000000"/>
                <w:sz w:val="16"/>
                <w:szCs w:val="16"/>
                <w:u w:val="none"/>
              </w:rPr>
            </w:pPr>
          </w:p>
        </w:tc>
      </w:tr>
      <w:tr w14:paraId="718A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5714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60C0C">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1BFF7">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24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社会保险征缴工作经费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F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F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9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6F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C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94F9">
            <w:pPr>
              <w:jc w:val="center"/>
              <w:rPr>
                <w:rFonts w:hint="eastAsia" w:ascii="微软雅黑" w:hAnsi="微软雅黑" w:eastAsia="微软雅黑" w:cs="微软雅黑"/>
                <w:i/>
                <w:iCs/>
                <w:color w:val="000000"/>
                <w:sz w:val="16"/>
                <w:szCs w:val="16"/>
                <w:u w:val="none"/>
              </w:rPr>
            </w:pPr>
          </w:p>
        </w:tc>
      </w:tr>
      <w:tr w14:paraId="7D9C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C789F">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A9A34">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B7AC7">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9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组织参保单位经办人员政策业务培训</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18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5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7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3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67A">
            <w:pPr>
              <w:jc w:val="center"/>
              <w:rPr>
                <w:rFonts w:hint="eastAsia" w:ascii="微软雅黑" w:hAnsi="微软雅黑" w:eastAsia="微软雅黑" w:cs="微软雅黑"/>
                <w:i/>
                <w:iCs/>
                <w:color w:val="000000"/>
                <w:sz w:val="16"/>
                <w:szCs w:val="16"/>
                <w:u w:val="none"/>
              </w:rPr>
            </w:pPr>
          </w:p>
        </w:tc>
      </w:tr>
      <w:tr w14:paraId="268C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0AC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B6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4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DDCB">
            <w:pPr>
              <w:rPr>
                <w:rFonts w:hint="eastAsia" w:ascii="宋体" w:hAnsi="宋体" w:eastAsia="宋体" w:cs="宋体"/>
                <w:i w:val="0"/>
                <w:iCs w:val="0"/>
                <w:color w:val="000000"/>
                <w:sz w:val="18"/>
                <w:szCs w:val="18"/>
                <w:u w:val="none"/>
              </w:rPr>
            </w:pPr>
          </w:p>
        </w:tc>
      </w:tr>
      <w:tr w14:paraId="149A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90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AFAC0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职业年金征缴工作经费项目支出完成了预算绩效目标，自评得分100分。通过对参保单位开展多次合计约900人次培训宣传职业年金相关政策，通过对县区经办机构业务人员开展多次合计200人次职业年金政策业务宣传培训提高业务经办能力，按规定征集基金，“退一补一”做实年金，做到应收尽收，应补尽补，为确保按时足额发放待遇打下基础，符合中央、省关于机关事业单位工作人员养老保险制度改革的要求，维护了全市干部职工权益。</w:t>
            </w:r>
          </w:p>
        </w:tc>
      </w:tr>
      <w:tr w14:paraId="58379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8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E8460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1.对县区的业务指导还需进一步加强；2.资金支付时间集中在下半年。</w:t>
            </w:r>
          </w:p>
        </w:tc>
      </w:tr>
      <w:tr w14:paraId="7CE9A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E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D127B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1.加强对县区职业年金征缴相关工作培训；2.加强年初项目绩效编制和绩效监控管理，合理安排项目实施时间，加快预算执行进度，提高财政资金使用质效。</w:t>
            </w:r>
          </w:p>
        </w:tc>
      </w:tr>
      <w:tr w14:paraId="5E698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3608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项目负责人：何俊、谢明江</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3830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152A6146">
      <w:pPr>
        <w:spacing w:line="600" w:lineRule="exact"/>
        <w:jc w:val="left"/>
        <w:rPr>
          <w:rFonts w:ascii="仿宋_GB2312" w:hAnsi="Calibri" w:eastAsia="仿宋_GB2312" w:cs="仿宋"/>
          <w:kern w:val="0"/>
          <w:sz w:val="32"/>
          <w:szCs w:val="32"/>
        </w:rPr>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864"/>
        <w:gridCol w:w="864"/>
        <w:gridCol w:w="864"/>
        <w:gridCol w:w="864"/>
        <w:gridCol w:w="864"/>
        <w:gridCol w:w="780"/>
        <w:gridCol w:w="780"/>
        <w:gridCol w:w="780"/>
        <w:gridCol w:w="780"/>
      </w:tblGrid>
      <w:tr w14:paraId="5A7E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05E81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1FA0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0AF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7484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51080021T000000050936-离退休人员社会化管理服务工作专项经费</w:t>
            </w:r>
          </w:p>
        </w:tc>
      </w:tr>
      <w:tr w14:paraId="181AD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C25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8DD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0E41784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074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7262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D1E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F96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8B8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22478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C0B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C1802">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70644">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6DD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证离退休人员社会化管理服务工作正常开展，同时，采取多种方式防止离退休人员死亡不报、重复计领、个人冒领，堵塞基金流失黑洞。推进我市企业退休人员社会化管理服务工作，构建和谐广元，维护社会稳定。</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247C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做好待遇发放管理工作，为符合条件的73.92万人按时足额发放待遇99.47亿元。积极开展社会化服务，大力推行“四川人社”APP自助认证方式</w:t>
            </w:r>
            <w:r>
              <w:rPr>
                <w:rFonts w:hint="eastAsia" w:ascii="宋体" w:hAnsi="宋体" w:cs="宋体"/>
                <w:i w:val="0"/>
                <w:iCs w:val="0"/>
                <w:color w:val="000000"/>
                <w:kern w:val="0"/>
                <w:sz w:val="18"/>
                <w:szCs w:val="18"/>
                <w:u w:val="none"/>
                <w:lang w:val="en-US" w:eastAsia="zh-CN" w:bidi="ar"/>
              </w:rPr>
              <w:t>，为</w:t>
            </w:r>
            <w:r>
              <w:rPr>
                <w:rFonts w:ascii="宋体" w:hAnsi="宋体" w:eastAsia="宋体" w:cs="宋体"/>
                <w:i w:val="0"/>
                <w:iCs w:val="0"/>
                <w:color w:val="000000"/>
                <w:kern w:val="0"/>
                <w:sz w:val="18"/>
                <w:szCs w:val="18"/>
                <w:u w:val="none"/>
                <w:lang w:val="en-US" w:eastAsia="zh-CN" w:bidi="ar"/>
              </w:rPr>
              <w:t>困难群体提供视频认证、上门认证等人性化认证服务。退休困难人员重大节日活动、生病慰问、丧事协办共计329人次。</w:t>
            </w:r>
          </w:p>
        </w:tc>
      </w:tr>
      <w:tr w14:paraId="228B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84F6">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7E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10C82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为22.26万名企业退休人员、3.54万名机关事业单位退休人员和1127名工伤职工圆满完成定期待遇政策性调整，分别补发调整待遇1.47亿元、0.41亿元、148.09万元。2.动态建立高龄、瘫痪和盲人等特殊人群社保待遇领取资格认证工作台账，提供视频认证、上门认证等人性化认证服务。3.2023年全市企业职工基本养老保险累计发放养老金64.28亿元，机关事业单位养老保险累计发放养老金25.65亿元（市本级累计发放4.21亿元），城乡居民养老保险累计发放养老金9.5亿元，按时足额发放率100%。</w:t>
            </w:r>
          </w:p>
        </w:tc>
      </w:tr>
      <w:tr w14:paraId="16176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F77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9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4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45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3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3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E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CA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311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60B28">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D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58E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E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67.55</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94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05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87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6B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48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退休困难人员慰问多数集中在春节前，导致下半年集中支付甚至第二年年初支付，造成预算执行力未达到时序进度。</w:t>
            </w:r>
          </w:p>
        </w:tc>
      </w:tr>
      <w:tr w14:paraId="78F8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B74FE">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1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23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67.55</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33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53.44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B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79.12%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12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6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F37A8">
            <w:pPr>
              <w:jc w:val="center"/>
              <w:rPr>
                <w:rFonts w:hint="eastAsia" w:ascii="宋体" w:hAnsi="宋体" w:eastAsia="宋体" w:cs="宋体"/>
                <w:i w:val="0"/>
                <w:iCs w:val="0"/>
                <w:color w:val="000000"/>
                <w:sz w:val="18"/>
                <w:szCs w:val="18"/>
                <w:u w:val="none"/>
              </w:rPr>
            </w:pPr>
          </w:p>
        </w:tc>
      </w:tr>
      <w:tr w14:paraId="1AE6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99FA">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B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4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76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3C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5F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3D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5DE0">
            <w:pPr>
              <w:jc w:val="center"/>
              <w:rPr>
                <w:rFonts w:hint="eastAsia" w:ascii="宋体" w:hAnsi="宋体" w:eastAsia="宋体" w:cs="宋体"/>
                <w:i w:val="0"/>
                <w:iCs w:val="0"/>
                <w:color w:val="000000"/>
                <w:sz w:val="18"/>
                <w:szCs w:val="18"/>
                <w:u w:val="none"/>
              </w:rPr>
            </w:pPr>
          </w:p>
        </w:tc>
      </w:tr>
      <w:tr w14:paraId="1C4C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0B24C">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2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7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0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521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CA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8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A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79FDD">
            <w:pPr>
              <w:jc w:val="center"/>
              <w:rPr>
                <w:rFonts w:hint="eastAsia" w:ascii="宋体" w:hAnsi="宋体" w:eastAsia="宋体" w:cs="宋体"/>
                <w:i w:val="0"/>
                <w:iCs w:val="0"/>
                <w:color w:val="000000"/>
                <w:sz w:val="18"/>
                <w:szCs w:val="18"/>
                <w:u w:val="none"/>
              </w:rPr>
            </w:pPr>
          </w:p>
        </w:tc>
      </w:tr>
      <w:tr w14:paraId="38D0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73F5E">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6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77A4">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F4FF">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7DF510">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91C0">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4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EB1E">
            <w:pPr>
              <w:jc w:val="center"/>
              <w:rPr>
                <w:rFonts w:hint="eastAsia" w:ascii="宋体" w:hAnsi="宋体" w:eastAsia="宋体" w:cs="宋体"/>
                <w:i w:val="0"/>
                <w:iCs w:val="0"/>
                <w:color w:val="000000"/>
                <w:sz w:val="18"/>
                <w:szCs w:val="18"/>
                <w:u w:val="none"/>
              </w:rPr>
            </w:pPr>
          </w:p>
        </w:tc>
      </w:tr>
      <w:tr w14:paraId="5AEE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080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D9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4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3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B2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1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F9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A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21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63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4A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6B2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EE68">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234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08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1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机关事业单位退休人员发放人次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9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E6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C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A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07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E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4CD8">
            <w:pPr>
              <w:jc w:val="center"/>
              <w:rPr>
                <w:rFonts w:hint="eastAsia" w:ascii="微软雅黑" w:hAnsi="微软雅黑" w:eastAsia="微软雅黑" w:cs="微软雅黑"/>
                <w:i/>
                <w:iCs/>
                <w:color w:val="000000"/>
                <w:sz w:val="16"/>
                <w:szCs w:val="16"/>
                <w:u w:val="none"/>
              </w:rPr>
            </w:pPr>
          </w:p>
        </w:tc>
      </w:tr>
      <w:tr w14:paraId="044B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E9B03">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54F90">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A1DB5">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F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企业职工基本养老保险退休发放人次</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7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C0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74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78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32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C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A5C8">
            <w:pPr>
              <w:jc w:val="center"/>
              <w:rPr>
                <w:rFonts w:hint="eastAsia" w:ascii="微软雅黑" w:hAnsi="微软雅黑" w:eastAsia="微软雅黑" w:cs="微软雅黑"/>
                <w:i/>
                <w:iCs/>
                <w:color w:val="000000"/>
                <w:sz w:val="16"/>
                <w:szCs w:val="16"/>
                <w:u w:val="none"/>
              </w:rPr>
            </w:pPr>
          </w:p>
        </w:tc>
      </w:tr>
      <w:tr w14:paraId="4944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FAA6">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1644C">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5668">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C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居民养老保险退休人数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B6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A5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6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C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1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939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F051">
            <w:pPr>
              <w:jc w:val="center"/>
              <w:rPr>
                <w:rFonts w:hint="eastAsia" w:ascii="微软雅黑" w:hAnsi="微软雅黑" w:eastAsia="微软雅黑" w:cs="微软雅黑"/>
                <w:i/>
                <w:iCs/>
                <w:color w:val="000000"/>
                <w:sz w:val="16"/>
                <w:szCs w:val="16"/>
                <w:u w:val="none"/>
              </w:rPr>
            </w:pPr>
          </w:p>
        </w:tc>
      </w:tr>
      <w:tr w14:paraId="1C72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298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B2C0F">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6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E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2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C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3E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B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9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6DA">
            <w:pPr>
              <w:jc w:val="center"/>
              <w:rPr>
                <w:rFonts w:hint="eastAsia" w:ascii="微软雅黑" w:hAnsi="微软雅黑" w:eastAsia="微软雅黑" w:cs="微软雅黑"/>
                <w:i/>
                <w:iCs/>
                <w:color w:val="000000"/>
                <w:sz w:val="16"/>
                <w:szCs w:val="16"/>
                <w:u w:val="none"/>
              </w:rPr>
            </w:pPr>
          </w:p>
        </w:tc>
      </w:tr>
      <w:tr w14:paraId="37DC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834B7">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E4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F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9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保持养老金按时足额发放率和社会化发放率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81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C08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E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B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E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D27D">
            <w:pPr>
              <w:jc w:val="center"/>
              <w:rPr>
                <w:rFonts w:hint="eastAsia" w:ascii="微软雅黑" w:hAnsi="微软雅黑" w:eastAsia="微软雅黑" w:cs="微软雅黑"/>
                <w:i/>
                <w:iCs/>
                <w:color w:val="000000"/>
                <w:sz w:val="16"/>
                <w:szCs w:val="16"/>
                <w:u w:val="none"/>
              </w:rPr>
            </w:pPr>
          </w:p>
        </w:tc>
      </w:tr>
      <w:tr w14:paraId="2543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965D">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5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2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3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D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2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C3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9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4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A072">
            <w:pPr>
              <w:jc w:val="center"/>
              <w:rPr>
                <w:rFonts w:hint="eastAsia" w:ascii="微软雅黑" w:hAnsi="微软雅黑" w:eastAsia="微软雅黑" w:cs="微软雅黑"/>
                <w:i/>
                <w:iCs/>
                <w:color w:val="000000"/>
                <w:sz w:val="16"/>
                <w:szCs w:val="16"/>
                <w:u w:val="none"/>
              </w:rPr>
            </w:pPr>
          </w:p>
        </w:tc>
      </w:tr>
      <w:tr w14:paraId="4C343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4B4B0">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B51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F75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7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宣传资料费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A0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4F9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92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F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4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8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67D9">
            <w:pPr>
              <w:jc w:val="center"/>
              <w:rPr>
                <w:rFonts w:hint="eastAsia" w:ascii="微软雅黑" w:hAnsi="微软雅黑" w:eastAsia="微软雅黑" w:cs="微软雅黑"/>
                <w:i/>
                <w:iCs/>
                <w:color w:val="000000"/>
                <w:sz w:val="16"/>
                <w:szCs w:val="16"/>
                <w:u w:val="none"/>
              </w:rPr>
            </w:pPr>
          </w:p>
        </w:tc>
      </w:tr>
      <w:tr w14:paraId="7ABA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D08F">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19D0">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D5D9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9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政策宣传、活动报道、</w:t>
            </w:r>
            <w:r>
              <w:rPr>
                <w:rFonts w:hint="eastAsia" w:ascii="宋体" w:hAnsi="宋体" w:cs="宋体"/>
                <w:i w:val="0"/>
                <w:iCs w:val="0"/>
                <w:color w:val="000000"/>
                <w:kern w:val="0"/>
                <w:sz w:val="18"/>
                <w:szCs w:val="18"/>
                <w:u w:val="none"/>
                <w:lang w:val="en-US" w:eastAsia="zh-CN" w:bidi="ar"/>
              </w:rPr>
              <w:t>电视台</w:t>
            </w:r>
            <w:r>
              <w:rPr>
                <w:rFonts w:ascii="宋体" w:hAnsi="宋体" w:eastAsia="宋体" w:cs="宋体"/>
                <w:i w:val="0"/>
                <w:iCs w:val="0"/>
                <w:color w:val="000000"/>
                <w:kern w:val="0"/>
                <w:sz w:val="18"/>
                <w:szCs w:val="18"/>
                <w:u w:val="none"/>
                <w:lang w:val="en-US" w:eastAsia="zh-CN" w:bidi="ar"/>
              </w:rPr>
              <w:t>通告费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13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F5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0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1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C1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5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0182">
            <w:pPr>
              <w:jc w:val="center"/>
              <w:rPr>
                <w:rFonts w:hint="eastAsia" w:ascii="微软雅黑" w:hAnsi="微软雅黑" w:eastAsia="微软雅黑" w:cs="微软雅黑"/>
                <w:i/>
                <w:iCs/>
                <w:color w:val="000000"/>
                <w:sz w:val="16"/>
                <w:szCs w:val="16"/>
                <w:u w:val="none"/>
              </w:rPr>
            </w:pPr>
          </w:p>
        </w:tc>
      </w:tr>
      <w:tr w14:paraId="2D43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EBF88">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1597A">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AF38">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6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退休人员重大节日活动费、生病慰问金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B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7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5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0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D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B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4709">
            <w:pPr>
              <w:jc w:val="center"/>
              <w:rPr>
                <w:rFonts w:hint="eastAsia" w:ascii="微软雅黑" w:hAnsi="微软雅黑" w:eastAsia="微软雅黑" w:cs="微软雅黑"/>
                <w:i/>
                <w:iCs/>
                <w:color w:val="000000"/>
                <w:sz w:val="16"/>
                <w:szCs w:val="16"/>
                <w:u w:val="none"/>
              </w:rPr>
            </w:pPr>
          </w:p>
        </w:tc>
      </w:tr>
      <w:tr w14:paraId="0CC7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744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B4AED">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F8AD">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5D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档案管理人员劳务费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5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71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E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A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7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8EAF3">
            <w:pPr>
              <w:jc w:val="center"/>
              <w:rPr>
                <w:rFonts w:hint="eastAsia" w:ascii="微软雅黑" w:hAnsi="微软雅黑" w:eastAsia="微软雅黑" w:cs="微软雅黑"/>
                <w:i/>
                <w:iCs/>
                <w:color w:val="000000"/>
                <w:sz w:val="16"/>
                <w:szCs w:val="16"/>
                <w:u w:val="none"/>
              </w:rPr>
            </w:pPr>
          </w:p>
        </w:tc>
      </w:tr>
      <w:tr w14:paraId="42E91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1D7C">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C895">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0765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B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档案整理、调阅查询办公费用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D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3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166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B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6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3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097">
            <w:pPr>
              <w:jc w:val="center"/>
              <w:rPr>
                <w:rFonts w:hint="eastAsia" w:ascii="微软雅黑" w:hAnsi="微软雅黑" w:eastAsia="微软雅黑" w:cs="微软雅黑"/>
                <w:i/>
                <w:iCs/>
                <w:color w:val="000000"/>
                <w:sz w:val="16"/>
                <w:szCs w:val="16"/>
                <w:u w:val="none"/>
              </w:rPr>
            </w:pPr>
          </w:p>
        </w:tc>
      </w:tr>
      <w:tr w14:paraId="1D4D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C2967">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04F41">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2E5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8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对高龄残疾群体、无认证反馈的离退休人员开展上门认证、核查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D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B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B7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33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D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271F">
            <w:pPr>
              <w:jc w:val="center"/>
              <w:rPr>
                <w:rFonts w:hint="eastAsia" w:ascii="微软雅黑" w:hAnsi="微软雅黑" w:eastAsia="微软雅黑" w:cs="微软雅黑"/>
                <w:i/>
                <w:iCs/>
                <w:color w:val="000000"/>
                <w:sz w:val="16"/>
                <w:szCs w:val="16"/>
                <w:u w:val="none"/>
              </w:rPr>
            </w:pPr>
          </w:p>
        </w:tc>
      </w:tr>
      <w:tr w14:paraId="75B24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BFC07">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F8D54">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9C4E">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17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对冒领养老金追收、到县区调研等工作发生的人员差旅费、交通费、租车费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7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A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5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5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9B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8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DB12">
            <w:pPr>
              <w:jc w:val="center"/>
              <w:rPr>
                <w:rFonts w:hint="eastAsia" w:ascii="微软雅黑" w:hAnsi="微软雅黑" w:eastAsia="微软雅黑" w:cs="微软雅黑"/>
                <w:i/>
                <w:iCs/>
                <w:color w:val="000000"/>
                <w:sz w:val="16"/>
                <w:szCs w:val="16"/>
                <w:u w:val="none"/>
              </w:rPr>
            </w:pPr>
          </w:p>
        </w:tc>
      </w:tr>
      <w:tr w14:paraId="24C53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EEF3B">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03F38">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84FAC">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0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丧事协办费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A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ED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C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6D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1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6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0112">
            <w:pPr>
              <w:jc w:val="center"/>
              <w:rPr>
                <w:rFonts w:hint="eastAsia" w:ascii="微软雅黑" w:hAnsi="微软雅黑" w:eastAsia="微软雅黑" w:cs="微软雅黑"/>
                <w:i/>
                <w:iCs/>
                <w:color w:val="000000"/>
                <w:sz w:val="16"/>
                <w:szCs w:val="16"/>
                <w:u w:val="none"/>
              </w:rPr>
            </w:pPr>
          </w:p>
        </w:tc>
      </w:tr>
      <w:tr w14:paraId="5496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71B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A7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B3AB">
            <w:pPr>
              <w:rPr>
                <w:rFonts w:hint="eastAsia" w:ascii="宋体" w:hAnsi="宋体" w:eastAsia="宋体" w:cs="宋体"/>
                <w:i w:val="0"/>
                <w:iCs w:val="0"/>
                <w:color w:val="000000"/>
                <w:sz w:val="18"/>
                <w:szCs w:val="18"/>
                <w:u w:val="none"/>
              </w:rPr>
            </w:pPr>
          </w:p>
        </w:tc>
      </w:tr>
      <w:tr w14:paraId="2F43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B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80892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2023年离退休人员社会化管理服务工作专项经费项目支出较好地完成了预算绩效目标，自评得分96分，保证了社会化管理服务工作顺利开展，确保了社会保险基金的安全性和完整性。</w:t>
            </w:r>
          </w:p>
        </w:tc>
      </w:tr>
      <w:tr w14:paraId="44FA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5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33AF40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1.项目绩效编制不够细化；2.支付集中在下半年。</w:t>
            </w:r>
          </w:p>
        </w:tc>
      </w:tr>
      <w:tr w14:paraId="68EE4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98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F325E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做好年度项目预算，细化项目的申报。结合市财政局、市人社局安排部署和行业发展规划、重点工作以及中心主要职能，合理编制部门预算，重点项目经过调查研究和专业评价论证，制定绩效目标。绩效目标编制要素完整，并对指标进行细化量化。2.实时监控资金使用情况，提醒相关科室积极主动开展业务，尽量避免下半年资金支付情况。</w:t>
            </w:r>
          </w:p>
        </w:tc>
      </w:tr>
      <w:tr w14:paraId="75BC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242F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项目负责人：王国贤</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387D1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56A49736">
      <w:pPr>
        <w:spacing w:line="600" w:lineRule="exact"/>
        <w:jc w:val="left"/>
        <w:rPr>
          <w:rFonts w:ascii="仿宋_GB2312" w:hAnsi="Calibri" w:eastAsia="仿宋_GB2312" w:cs="仿宋"/>
          <w:kern w:val="0"/>
          <w:sz w:val="32"/>
          <w:szCs w:val="32"/>
        </w:rPr>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3"/>
        <w:gridCol w:w="953"/>
        <w:gridCol w:w="859"/>
        <w:gridCol w:w="859"/>
        <w:gridCol w:w="855"/>
        <w:gridCol w:w="857"/>
        <w:gridCol w:w="855"/>
        <w:gridCol w:w="846"/>
        <w:gridCol w:w="775"/>
        <w:gridCol w:w="775"/>
        <w:gridCol w:w="773"/>
      </w:tblGrid>
      <w:tr w14:paraId="2AD0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FE5E3B">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1AD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1B9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4376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51080023T000008131892-社会保险委托稽核和基金管理专项经费</w:t>
            </w:r>
          </w:p>
        </w:tc>
      </w:tr>
      <w:tr w14:paraId="4BD0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35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1DFA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243BAD5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EE8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1DA5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345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6B9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897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760A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DCB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1CBFA">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53996">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54FC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1.参保投诉稽核年均投诉35次；2.违规领待追缴；3.到县区开展相关稽核检查；4.对38家工伤保险协议医疗机构开展全覆盖检查；5.购买支票、汇票， 跨行转账、异地电汇，网银费用支付。</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3387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督促企业按时足额缴纳社会保险费用，维护职工合法权益。通过疑点数据核查整改，追回死亡人员、服刑人员违规领取社保基金，维护基金安全完整</w:t>
            </w:r>
          </w:p>
        </w:tc>
      </w:tr>
      <w:tr w14:paraId="42182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D698">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C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95956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1.2023年处理信访投诉60余件，举报投诉12起，已办结9起。2.2023年接收部省市疑点数据3253条，核查率94%，追回343.69万元，追收率82.1%。3.开展了一期县区间交叉检查，发现问题已全部整改，拓宽了风险防控渠道，同时通过养老保险政策执行大调研赴各县区开展风险防控工作检查，发现问题，督促县区及时整改。</w:t>
            </w:r>
          </w:p>
        </w:tc>
      </w:tr>
      <w:tr w14:paraId="34177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98D0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87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3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8A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DB3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6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8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9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9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B3A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78220">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3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5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43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E3B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EF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6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A2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D6F7E">
            <w:pPr>
              <w:rPr>
                <w:rFonts w:hint="eastAsia" w:ascii="黑体" w:hAnsi="黑体" w:eastAsia="黑体" w:cs="黑体"/>
                <w:i/>
                <w:iCs/>
                <w:color w:val="000000"/>
                <w:sz w:val="18"/>
                <w:szCs w:val="18"/>
                <w:u w:val="none"/>
              </w:rPr>
            </w:pPr>
          </w:p>
        </w:tc>
      </w:tr>
      <w:tr w14:paraId="5294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2DE2">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3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D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5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68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C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18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D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702F1">
            <w:pPr>
              <w:rPr>
                <w:rFonts w:hint="eastAsia" w:ascii="黑体" w:hAnsi="黑体" w:eastAsia="黑体" w:cs="黑体"/>
                <w:i/>
                <w:iCs/>
                <w:color w:val="000000"/>
                <w:sz w:val="18"/>
                <w:szCs w:val="18"/>
                <w:u w:val="none"/>
              </w:rPr>
            </w:pPr>
          </w:p>
        </w:tc>
      </w:tr>
      <w:tr w14:paraId="3151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AB38">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E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C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58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8AA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5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5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5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901EB">
            <w:pPr>
              <w:rPr>
                <w:rFonts w:hint="eastAsia" w:ascii="黑体" w:hAnsi="黑体" w:eastAsia="黑体" w:cs="黑体"/>
                <w:i/>
                <w:iCs/>
                <w:color w:val="000000"/>
                <w:sz w:val="18"/>
                <w:szCs w:val="18"/>
                <w:u w:val="none"/>
              </w:rPr>
            </w:pPr>
          </w:p>
        </w:tc>
      </w:tr>
      <w:tr w14:paraId="6F69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27767">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C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D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DD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5F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8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C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5273D">
            <w:pPr>
              <w:rPr>
                <w:rFonts w:hint="eastAsia" w:ascii="黑体" w:hAnsi="黑体" w:eastAsia="黑体" w:cs="黑体"/>
                <w:i/>
                <w:iCs/>
                <w:color w:val="000000"/>
                <w:sz w:val="18"/>
                <w:szCs w:val="18"/>
                <w:u w:val="none"/>
              </w:rPr>
            </w:pPr>
          </w:p>
        </w:tc>
      </w:tr>
      <w:tr w14:paraId="60A3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EAEB1">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8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AE09">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56F1">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87F53">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0AC">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C0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9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BC720">
            <w:pPr>
              <w:rPr>
                <w:rFonts w:hint="eastAsia" w:ascii="黑体" w:hAnsi="黑体" w:eastAsia="黑体" w:cs="黑体"/>
                <w:i/>
                <w:iCs/>
                <w:color w:val="000000"/>
                <w:sz w:val="18"/>
                <w:szCs w:val="18"/>
                <w:u w:val="none"/>
              </w:rPr>
            </w:pPr>
          </w:p>
        </w:tc>
      </w:tr>
      <w:tr w14:paraId="350BF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31F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1C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3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C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29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50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D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3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1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6E35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09745">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41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96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4D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网银账户</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2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3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3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65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65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2DC6">
            <w:pPr>
              <w:jc w:val="center"/>
              <w:rPr>
                <w:rFonts w:hint="eastAsia" w:ascii="微软雅黑" w:hAnsi="微软雅黑" w:eastAsia="微软雅黑" w:cs="微软雅黑"/>
                <w:i/>
                <w:iCs/>
                <w:color w:val="000000"/>
                <w:sz w:val="16"/>
                <w:szCs w:val="16"/>
                <w:u w:val="none"/>
              </w:rPr>
            </w:pPr>
          </w:p>
        </w:tc>
      </w:tr>
      <w:tr w14:paraId="6F01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D6ADC">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B8DB">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E07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0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年均投诉案件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D7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7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8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9A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1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0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6741">
            <w:pPr>
              <w:jc w:val="center"/>
              <w:rPr>
                <w:rFonts w:hint="eastAsia" w:ascii="微软雅黑" w:hAnsi="微软雅黑" w:eastAsia="微软雅黑" w:cs="微软雅黑"/>
                <w:i/>
                <w:iCs/>
                <w:color w:val="000000"/>
                <w:sz w:val="16"/>
                <w:szCs w:val="16"/>
                <w:u w:val="none"/>
              </w:rPr>
            </w:pPr>
          </w:p>
        </w:tc>
      </w:tr>
      <w:tr w14:paraId="45AF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6C31B">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5C4E7">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E1E4">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4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银行票据</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1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B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C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49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51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6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538A">
            <w:pPr>
              <w:jc w:val="center"/>
              <w:rPr>
                <w:rFonts w:hint="eastAsia" w:ascii="微软雅黑" w:hAnsi="微软雅黑" w:eastAsia="微软雅黑" w:cs="微软雅黑"/>
                <w:i/>
                <w:iCs/>
                <w:color w:val="000000"/>
                <w:sz w:val="16"/>
                <w:szCs w:val="16"/>
                <w:u w:val="none"/>
              </w:rPr>
            </w:pPr>
          </w:p>
        </w:tc>
      </w:tr>
      <w:tr w14:paraId="546C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6EDE">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0780C">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73447">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7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工伤保险协议医疗机构检查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6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0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2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8D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9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5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BD05">
            <w:pPr>
              <w:jc w:val="center"/>
              <w:rPr>
                <w:rFonts w:hint="eastAsia" w:ascii="微软雅黑" w:hAnsi="微软雅黑" w:eastAsia="微软雅黑" w:cs="微软雅黑"/>
                <w:i/>
                <w:iCs/>
                <w:color w:val="000000"/>
                <w:sz w:val="16"/>
                <w:szCs w:val="16"/>
                <w:u w:val="none"/>
              </w:rPr>
            </w:pPr>
          </w:p>
        </w:tc>
      </w:tr>
      <w:tr w14:paraId="7825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5B373">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7B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8F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4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维护社保基金安全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8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基金安全稳步提升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7A2B">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7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有效促进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9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4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57BF">
            <w:pPr>
              <w:jc w:val="center"/>
              <w:rPr>
                <w:rFonts w:hint="eastAsia" w:ascii="微软雅黑" w:hAnsi="微软雅黑" w:eastAsia="微软雅黑" w:cs="微软雅黑"/>
                <w:i/>
                <w:iCs/>
                <w:color w:val="000000"/>
                <w:sz w:val="16"/>
                <w:szCs w:val="16"/>
                <w:u w:val="none"/>
              </w:rPr>
            </w:pPr>
          </w:p>
        </w:tc>
      </w:tr>
      <w:tr w14:paraId="2555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E193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A2F65">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241EA">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A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按时足额发放待遇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B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17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0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C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8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BF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27C7">
            <w:pPr>
              <w:jc w:val="center"/>
              <w:rPr>
                <w:rFonts w:hint="eastAsia" w:ascii="微软雅黑" w:hAnsi="微软雅黑" w:eastAsia="微软雅黑" w:cs="微软雅黑"/>
                <w:i/>
                <w:iCs/>
                <w:color w:val="000000"/>
                <w:sz w:val="16"/>
                <w:szCs w:val="16"/>
                <w:u w:val="none"/>
              </w:rPr>
            </w:pPr>
          </w:p>
        </w:tc>
      </w:tr>
      <w:tr w14:paraId="3B91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F7A17">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92DD7">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0505E">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48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维护参保人员权益</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19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4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不断增强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885F">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C7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不断增强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0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B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1D5F">
            <w:pPr>
              <w:jc w:val="center"/>
              <w:rPr>
                <w:rFonts w:hint="eastAsia" w:ascii="微软雅黑" w:hAnsi="微软雅黑" w:eastAsia="微软雅黑" w:cs="微软雅黑"/>
                <w:i/>
                <w:iCs/>
                <w:color w:val="000000"/>
                <w:sz w:val="16"/>
                <w:szCs w:val="16"/>
                <w:u w:val="none"/>
              </w:rPr>
            </w:pPr>
          </w:p>
        </w:tc>
      </w:tr>
      <w:tr w14:paraId="63475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7EBE7">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B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8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4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参保对象满意度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5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B3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D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D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9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3D05">
            <w:pPr>
              <w:jc w:val="center"/>
              <w:rPr>
                <w:rFonts w:hint="eastAsia" w:ascii="微软雅黑" w:hAnsi="微软雅黑" w:eastAsia="微软雅黑" w:cs="微软雅黑"/>
                <w:i/>
                <w:iCs/>
                <w:color w:val="000000"/>
                <w:sz w:val="16"/>
                <w:szCs w:val="16"/>
                <w:u w:val="none"/>
              </w:rPr>
            </w:pPr>
          </w:p>
        </w:tc>
      </w:tr>
      <w:tr w14:paraId="627A6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1E141">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04F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78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4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工伤保险协议医疗机构检查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1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6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3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39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9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59E2">
            <w:pPr>
              <w:jc w:val="center"/>
              <w:rPr>
                <w:rFonts w:hint="eastAsia" w:ascii="微软雅黑" w:hAnsi="微软雅黑" w:eastAsia="微软雅黑" w:cs="微软雅黑"/>
                <w:i/>
                <w:iCs/>
                <w:color w:val="000000"/>
                <w:sz w:val="16"/>
                <w:szCs w:val="16"/>
                <w:u w:val="none"/>
              </w:rPr>
            </w:pPr>
          </w:p>
        </w:tc>
      </w:tr>
      <w:tr w14:paraId="62098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83D1">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B653E">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62512">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74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基金管理手续费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CD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2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1B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3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5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8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5CF">
            <w:pPr>
              <w:jc w:val="center"/>
              <w:rPr>
                <w:rFonts w:hint="eastAsia" w:ascii="微软雅黑" w:hAnsi="微软雅黑" w:eastAsia="微软雅黑" w:cs="微软雅黑"/>
                <w:i/>
                <w:iCs/>
                <w:color w:val="000000"/>
                <w:sz w:val="16"/>
                <w:szCs w:val="16"/>
                <w:u w:val="none"/>
              </w:rPr>
            </w:pPr>
          </w:p>
        </w:tc>
      </w:tr>
      <w:tr w14:paraId="01C6F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4521B">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7593">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7FF5A">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FA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到县区开展相关稽核检查</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86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C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1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5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27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7D74">
            <w:pPr>
              <w:jc w:val="center"/>
              <w:rPr>
                <w:rFonts w:hint="eastAsia" w:ascii="微软雅黑" w:hAnsi="微软雅黑" w:eastAsia="微软雅黑" w:cs="微软雅黑"/>
                <w:i/>
                <w:iCs/>
                <w:color w:val="000000"/>
                <w:sz w:val="16"/>
                <w:szCs w:val="16"/>
                <w:u w:val="none"/>
              </w:rPr>
            </w:pPr>
          </w:p>
        </w:tc>
      </w:tr>
      <w:tr w14:paraId="5670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07C85">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BFF6A">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C645B">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A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处理投诉案件差旅费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73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2A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2AF">
            <w:pPr>
              <w:jc w:val="center"/>
              <w:rPr>
                <w:rFonts w:hint="eastAsia" w:ascii="微软雅黑" w:hAnsi="微软雅黑" w:eastAsia="微软雅黑" w:cs="微软雅黑"/>
                <w:i/>
                <w:iCs/>
                <w:color w:val="000000"/>
                <w:sz w:val="16"/>
                <w:szCs w:val="16"/>
                <w:u w:val="none"/>
              </w:rPr>
            </w:pPr>
          </w:p>
        </w:tc>
      </w:tr>
      <w:tr w14:paraId="53B2C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DF8C8">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83F69">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AA94">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DB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违规领待追缴</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C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9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0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6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F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D0DC">
            <w:pPr>
              <w:jc w:val="center"/>
              <w:rPr>
                <w:rFonts w:hint="eastAsia" w:ascii="微软雅黑" w:hAnsi="微软雅黑" w:eastAsia="微软雅黑" w:cs="微软雅黑"/>
                <w:i/>
                <w:iCs/>
                <w:color w:val="000000"/>
                <w:sz w:val="16"/>
                <w:szCs w:val="16"/>
                <w:u w:val="none"/>
              </w:rPr>
            </w:pPr>
          </w:p>
        </w:tc>
      </w:tr>
      <w:tr w14:paraId="4C9B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048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9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F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C456">
            <w:pPr>
              <w:rPr>
                <w:rFonts w:hint="eastAsia" w:ascii="宋体" w:hAnsi="宋体" w:eastAsia="宋体" w:cs="宋体"/>
                <w:i w:val="0"/>
                <w:iCs w:val="0"/>
                <w:color w:val="000000"/>
                <w:sz w:val="18"/>
                <w:szCs w:val="18"/>
                <w:u w:val="none"/>
              </w:rPr>
            </w:pPr>
          </w:p>
        </w:tc>
      </w:tr>
      <w:tr w14:paraId="776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2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EFF09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Style w:val="33"/>
                <w:lang w:val="en-US" w:eastAsia="zh-CN" w:bidi="ar"/>
              </w:rPr>
              <w:t>2023年社会保险委托稽核专项工作经费项目支出完成了预算绩效目标，自评得分100分。加强社保基金管理</w:t>
            </w:r>
            <w:r>
              <w:rPr>
                <w:rStyle w:val="34"/>
                <w:lang w:val="en-US" w:eastAsia="zh-CN" w:bidi="ar"/>
              </w:rPr>
              <w:t>，对市本级企业、机关事业单位参保、欠费清收、重复冒领、服刑人员违规领取待遇追回、举报、投诉情况进行稽核。确保了基金安全完整，维护了参保人员利益。</w:t>
            </w:r>
          </w:p>
        </w:tc>
      </w:tr>
      <w:tr w14:paraId="3578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3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C8717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社保投诉案件处理困难。权益投诉举报案件数量增多，投诉案件涉及未参保缴费时间久，往年缴费基数不足问题增多，企业情况复杂，化解纠纷难度大。2.违规领取待遇追缴困难。疑点数据核查种类多、量大，尤其是服刑人员违规领取待遇因监狱在押或出狱后无收入来源，追缴难度大、追缴缓慢。</w:t>
            </w:r>
          </w:p>
        </w:tc>
      </w:tr>
      <w:tr w14:paraId="41E0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F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B3B48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规范完善我市群众举报投诉操作流程，建立部门联动机制，积极与税务部门、司法等部门联系，切实解决群众诉求。2.切实抓好疑点数据核查整改工作，完善违规基金追缴机制，辩证施策采取经办机构责令退还、签署协议分期追回、移交行政部门、移送公安部门或法院诉讼等多种方式追缴违规领取社保基金，明确部门职责、规范操作流程，提升追缴效能。</w:t>
            </w:r>
          </w:p>
        </w:tc>
      </w:tr>
      <w:tr w14:paraId="32E75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E790F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项目负责人：张玉军</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A8FE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0765CD3F">
      <w:pPr>
        <w:spacing w:line="600" w:lineRule="exact"/>
        <w:jc w:val="left"/>
        <w:rPr>
          <w:rFonts w:ascii="仿宋_GB2312" w:hAnsi="Calibri" w:eastAsia="仿宋_GB2312" w:cs="仿宋"/>
          <w:kern w:val="0"/>
          <w:sz w:val="32"/>
          <w:szCs w:val="32"/>
        </w:rPr>
      </w:pPr>
    </w:p>
    <w:tbl>
      <w:tblPr>
        <w:tblStyle w:val="13"/>
        <w:tblW w:w="93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952"/>
        <w:gridCol w:w="859"/>
        <w:gridCol w:w="859"/>
        <w:gridCol w:w="855"/>
        <w:gridCol w:w="859"/>
        <w:gridCol w:w="855"/>
        <w:gridCol w:w="846"/>
        <w:gridCol w:w="775"/>
        <w:gridCol w:w="775"/>
        <w:gridCol w:w="773"/>
      </w:tblGrid>
      <w:tr w14:paraId="1B81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5BBA0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729C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5AF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E602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51080023T000008249721-乡村振兴经费</w:t>
            </w:r>
          </w:p>
        </w:tc>
      </w:tr>
      <w:tr w14:paraId="4C6ED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5E7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C9C7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广元市人力资源和社会保障局部门</w:t>
            </w:r>
          </w:p>
        </w:tc>
        <w:tc>
          <w:tcPr>
            <w:tcW w:w="780" w:type="dxa"/>
            <w:tcBorders>
              <w:top w:val="nil"/>
              <w:left w:val="nil"/>
              <w:bottom w:val="nil"/>
              <w:right w:val="nil"/>
            </w:tcBorders>
            <w:shd w:val="clear" w:color="auto" w:fill="auto"/>
            <w:vAlign w:val="center"/>
          </w:tcPr>
          <w:p w14:paraId="20C9D7A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7BB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广元市社会保险事务中心</w:t>
            </w:r>
          </w:p>
        </w:tc>
      </w:tr>
      <w:tr w14:paraId="5905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07E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B56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D07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3D055">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6BA7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17F5E">
            <w:pP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4742">
            <w:pPr>
              <w:rPr>
                <w:rFonts w:hint="eastAsia" w:ascii="宋体" w:hAnsi="宋体" w:eastAsia="宋体" w:cs="宋体"/>
                <w:i w:val="0"/>
                <w:iCs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E4E9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切实抓好乡村振兴战略，开展促进乡村产业振兴、人才振兴、文化振兴、生态振兴、组织振兴。</w:t>
            </w:r>
          </w:p>
        </w:tc>
        <w:tc>
          <w:tcPr>
            <w:tcW w:w="31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0ECB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全面完成年度目标</w:t>
            </w:r>
          </w:p>
        </w:tc>
      </w:tr>
      <w:tr w14:paraId="68C9E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8AD36">
            <w:pP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D3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4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83CD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工作队紧紧围绕产业兴旺、生态宜居、乡风文明、治理有效、生活富裕的乡村振兴总要求，突出党建引领，加强脱贫攻坚成果巩固与乡村振兴有效衔接，持续改善基础设施，积极培育、壮大村集体经济，加强基层综合治理，努力培育和践行社会主义核心价值观，不断提高公共服务、综合治理水平，促进农村居民就业增收、辖区和谐稳定。</w:t>
            </w:r>
          </w:p>
        </w:tc>
      </w:tr>
      <w:tr w14:paraId="1C998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66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9C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7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E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44D0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5EB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2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9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B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266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40DC9">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07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C3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1B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E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6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C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C4D88">
            <w:pPr>
              <w:rPr>
                <w:rFonts w:hint="eastAsia" w:ascii="黑体" w:hAnsi="黑体" w:eastAsia="黑体" w:cs="黑体"/>
                <w:i/>
                <w:iCs/>
                <w:color w:val="000000"/>
                <w:sz w:val="18"/>
                <w:szCs w:val="18"/>
                <w:u w:val="none"/>
              </w:rPr>
            </w:pPr>
          </w:p>
        </w:tc>
      </w:tr>
      <w:tr w14:paraId="03D7D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68354">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A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5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D5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A32F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43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1D9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F5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46BF8">
            <w:pPr>
              <w:rPr>
                <w:rFonts w:hint="eastAsia" w:ascii="黑体" w:hAnsi="黑体" w:eastAsia="黑体" w:cs="黑体"/>
                <w:i/>
                <w:iCs/>
                <w:color w:val="000000"/>
                <w:sz w:val="18"/>
                <w:szCs w:val="18"/>
                <w:u w:val="none"/>
              </w:rPr>
            </w:pPr>
          </w:p>
        </w:tc>
      </w:tr>
      <w:tr w14:paraId="6D8A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BA12">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4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43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A7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F4DF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A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43B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D8DF">
            <w:pPr>
              <w:rPr>
                <w:rFonts w:hint="eastAsia" w:ascii="黑体" w:hAnsi="黑体" w:eastAsia="黑体" w:cs="黑体"/>
                <w:i/>
                <w:iCs/>
                <w:color w:val="000000"/>
                <w:sz w:val="18"/>
                <w:szCs w:val="18"/>
                <w:u w:val="none"/>
              </w:rPr>
            </w:pPr>
          </w:p>
        </w:tc>
      </w:tr>
      <w:tr w14:paraId="59ED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B198D">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2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8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73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56B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63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AD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9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D4EBD">
            <w:pPr>
              <w:rPr>
                <w:rFonts w:hint="eastAsia" w:ascii="黑体" w:hAnsi="黑体" w:eastAsia="黑体" w:cs="黑体"/>
                <w:i/>
                <w:iCs/>
                <w:color w:val="000000"/>
                <w:sz w:val="18"/>
                <w:szCs w:val="18"/>
                <w:u w:val="none"/>
              </w:rPr>
            </w:pPr>
          </w:p>
        </w:tc>
      </w:tr>
      <w:tr w14:paraId="2481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F931">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0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00CB">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9B48">
            <w:pPr>
              <w:jc w:val="center"/>
              <w:rPr>
                <w:rFonts w:hint="eastAsia" w:ascii="微软雅黑" w:hAnsi="微软雅黑" w:eastAsia="微软雅黑" w:cs="微软雅黑"/>
                <w:i/>
                <w:iCs/>
                <w:color w:val="000000"/>
                <w:sz w:val="16"/>
                <w:szCs w:val="16"/>
                <w:u w:val="none"/>
              </w:rPr>
            </w:pPr>
          </w:p>
        </w:tc>
        <w:tc>
          <w:tcPr>
            <w:tcW w:w="2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40F694">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7793">
            <w:pPr>
              <w:jc w:val="center"/>
              <w:rPr>
                <w:rFonts w:hint="eastAsia" w:ascii="微软雅黑" w:hAnsi="微软雅黑" w:eastAsia="微软雅黑" w:cs="微软雅黑"/>
                <w:i/>
                <w:iCs/>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7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85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182E2">
            <w:pPr>
              <w:rPr>
                <w:rFonts w:hint="eastAsia" w:ascii="黑体" w:hAnsi="黑体" w:eastAsia="黑体" w:cs="黑体"/>
                <w:i/>
                <w:iCs/>
                <w:color w:val="000000"/>
                <w:sz w:val="18"/>
                <w:szCs w:val="18"/>
                <w:u w:val="none"/>
              </w:rPr>
            </w:pPr>
          </w:p>
        </w:tc>
      </w:tr>
      <w:tr w14:paraId="6B024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8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15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6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A2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3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E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EC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4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C1F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84FD">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7C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712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5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产业发展，大豆玉米复合种植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E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0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7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CD41">
            <w:pPr>
              <w:jc w:val="center"/>
              <w:rPr>
                <w:rFonts w:hint="eastAsia" w:ascii="微软雅黑" w:hAnsi="微软雅黑" w:eastAsia="微软雅黑" w:cs="微软雅黑"/>
                <w:i/>
                <w:iCs/>
                <w:color w:val="000000"/>
                <w:sz w:val="16"/>
                <w:szCs w:val="16"/>
                <w:u w:val="none"/>
              </w:rPr>
            </w:pPr>
          </w:p>
        </w:tc>
      </w:tr>
      <w:tr w14:paraId="4A26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3FCDD">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B0247">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EA49D">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7E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乡村振兴帮扶队员</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8D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BB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E6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A4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D7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F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74F1">
            <w:pPr>
              <w:jc w:val="center"/>
              <w:rPr>
                <w:rFonts w:hint="eastAsia" w:ascii="微软雅黑" w:hAnsi="微软雅黑" w:eastAsia="微软雅黑" w:cs="微软雅黑"/>
                <w:i/>
                <w:iCs/>
                <w:color w:val="000000"/>
                <w:sz w:val="16"/>
                <w:szCs w:val="16"/>
                <w:u w:val="none"/>
              </w:rPr>
            </w:pPr>
          </w:p>
        </w:tc>
      </w:tr>
      <w:tr w14:paraId="1966D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206A">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613B">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AB5C">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4E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改厕项目户数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8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A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1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2F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43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2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7EAA">
            <w:pPr>
              <w:jc w:val="center"/>
              <w:rPr>
                <w:rFonts w:hint="eastAsia" w:ascii="微软雅黑" w:hAnsi="微软雅黑" w:eastAsia="微软雅黑" w:cs="微软雅黑"/>
                <w:i/>
                <w:iCs/>
                <w:color w:val="000000"/>
                <w:sz w:val="16"/>
                <w:szCs w:val="16"/>
                <w:u w:val="none"/>
              </w:rPr>
            </w:pPr>
          </w:p>
        </w:tc>
      </w:tr>
      <w:tr w14:paraId="6684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BDD00">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E0424">
            <w:pPr>
              <w:jc w:val="center"/>
              <w:rPr>
                <w:rFonts w:hint="eastAsia" w:ascii="宋体" w:hAnsi="宋体" w:eastAsia="宋体" w:cs="宋体"/>
                <w:i w:val="0"/>
                <w:iCs w:val="0"/>
                <w:color w:val="000000"/>
                <w:sz w:val="18"/>
                <w:szCs w:val="18"/>
                <w:u w:val="none"/>
              </w:rPr>
            </w:pPr>
          </w:p>
        </w:tc>
        <w:tc>
          <w:tcPr>
            <w:tcW w:w="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08F90">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6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产业发展，终止烤烟</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C8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A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17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A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7A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9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205E">
            <w:pPr>
              <w:jc w:val="center"/>
              <w:rPr>
                <w:rFonts w:hint="eastAsia" w:ascii="微软雅黑" w:hAnsi="微软雅黑" w:eastAsia="微软雅黑" w:cs="微软雅黑"/>
                <w:i/>
                <w:iCs/>
                <w:color w:val="000000"/>
                <w:sz w:val="16"/>
                <w:szCs w:val="16"/>
                <w:u w:val="none"/>
              </w:rPr>
            </w:pPr>
          </w:p>
        </w:tc>
      </w:tr>
      <w:tr w14:paraId="2AF1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867F3">
            <w:pPr>
              <w:jc w:val="center"/>
              <w:rPr>
                <w:rFonts w:hint="eastAsia" w:ascii="宋体" w:hAnsi="宋体" w:eastAsia="宋体" w:cs="宋体"/>
                <w:i w:val="0"/>
                <w:iCs w:val="0"/>
                <w:color w:val="000000"/>
                <w:sz w:val="18"/>
                <w:szCs w:val="18"/>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7B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4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0A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带动贫困人员增收</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A5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E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6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54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D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D5D">
            <w:pPr>
              <w:jc w:val="center"/>
              <w:rPr>
                <w:rFonts w:hint="eastAsia" w:ascii="微软雅黑" w:hAnsi="微软雅黑" w:eastAsia="微软雅黑" w:cs="微软雅黑"/>
                <w:i/>
                <w:iCs/>
                <w:color w:val="000000"/>
                <w:sz w:val="16"/>
                <w:szCs w:val="16"/>
                <w:u w:val="none"/>
              </w:rPr>
            </w:pPr>
          </w:p>
        </w:tc>
      </w:tr>
      <w:tr w14:paraId="080D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95321">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479A">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1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A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建设美丽新农村</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E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61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继续巩固脱贫成果，坚持维护两不愁三保障</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96E0">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F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有效促进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E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A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BA91">
            <w:pPr>
              <w:jc w:val="center"/>
              <w:rPr>
                <w:rFonts w:hint="eastAsia" w:ascii="微软雅黑" w:hAnsi="微软雅黑" w:eastAsia="微软雅黑" w:cs="微软雅黑"/>
                <w:i/>
                <w:iCs/>
                <w:color w:val="000000"/>
                <w:sz w:val="16"/>
                <w:szCs w:val="16"/>
                <w:u w:val="none"/>
              </w:rPr>
            </w:pPr>
          </w:p>
        </w:tc>
      </w:tr>
      <w:tr w14:paraId="7E3E4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97BC8">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5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CA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人民群众满意度</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90F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A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7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AE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E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B89F">
            <w:pPr>
              <w:jc w:val="center"/>
              <w:rPr>
                <w:rFonts w:hint="eastAsia" w:ascii="微软雅黑" w:hAnsi="微软雅黑" w:eastAsia="微软雅黑" w:cs="微软雅黑"/>
                <w:i/>
                <w:iCs/>
                <w:color w:val="000000"/>
                <w:sz w:val="16"/>
                <w:szCs w:val="16"/>
                <w:u w:val="none"/>
              </w:rPr>
            </w:pPr>
          </w:p>
        </w:tc>
      </w:tr>
      <w:tr w14:paraId="7B7E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0FAB">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E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8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C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驻村工作队员工作经费</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7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0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0E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ED1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6F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C1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83B">
            <w:pPr>
              <w:jc w:val="center"/>
              <w:rPr>
                <w:rFonts w:hint="eastAsia" w:ascii="微软雅黑" w:hAnsi="微软雅黑" w:eastAsia="微软雅黑" w:cs="微软雅黑"/>
                <w:i/>
                <w:iCs/>
                <w:color w:val="000000"/>
                <w:sz w:val="16"/>
                <w:szCs w:val="16"/>
                <w:u w:val="none"/>
              </w:rPr>
            </w:pPr>
          </w:p>
        </w:tc>
      </w:tr>
      <w:tr w14:paraId="6B96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70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5FD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EE8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E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965F">
            <w:pPr>
              <w:rPr>
                <w:rFonts w:hint="eastAsia" w:ascii="宋体" w:hAnsi="宋体" w:eastAsia="宋体" w:cs="宋体"/>
                <w:i w:val="0"/>
                <w:iCs w:val="0"/>
                <w:color w:val="000000"/>
                <w:sz w:val="18"/>
                <w:szCs w:val="18"/>
                <w:u w:val="none"/>
              </w:rPr>
            </w:pPr>
          </w:p>
        </w:tc>
      </w:tr>
      <w:tr w14:paraId="164AD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51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46C094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项目自评总分为100分，项目取得的成效是驻村工作队紧紧围绕产业兴旺、生态宜居、乡风文明、治理有效、生活富裕的乡村振兴总要求，突出党建引领，加强脱贫攻坚成果巩固与乡村振兴有效衔接，持续改善基础设施，积极培育、壮大村集体经济，加强基层综合治理，努力培育和践行社会主义核心价值观，不断提高公共服务、综合治理水平，促进农村居民就业增收、辖区和谐稳定。大房村被表彰为2023年度广元市乡村振兴分类考评成绩突出的村。</w:t>
            </w:r>
          </w:p>
        </w:tc>
      </w:tr>
      <w:tr w14:paraId="7366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3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09DCE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产业园由于前期村集体、业主拖欠零工工资、土地流转费用数额较大，清欠压力大，部分群众意见较大，帮扶对象满意度未达到100%。2.产业园面积较大，管护难度大，部分园区存在业主管护不力荒废现象，管护资金需求量大，目前2024年产业管护资金未下达。</w:t>
            </w:r>
          </w:p>
        </w:tc>
      </w:tr>
      <w:tr w14:paraId="6B45C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6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4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A91A4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协助村两委充当业主和群众之间的润滑剂，督促蜜桃产业园业主清欠零工工资及土地流转费用，保障园区用工，使产业良性发展，增加帮扶对象满意度。2.积极协调产业管护资金的拨付，监督业主及时进行冬管，确保来年桃、李大丰收，集体经济增收。</w:t>
            </w:r>
          </w:p>
        </w:tc>
      </w:tr>
      <w:tr w14:paraId="41C3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5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664C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项目负责人：仲勋</w:t>
            </w:r>
          </w:p>
        </w:tc>
        <w:tc>
          <w:tcPr>
            <w:tcW w:w="4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50797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财务负责人：侯洁</w:t>
            </w:r>
          </w:p>
        </w:tc>
      </w:tr>
    </w:tbl>
    <w:p w14:paraId="0205366E">
      <w:pPr>
        <w:spacing w:line="600" w:lineRule="exact"/>
        <w:jc w:val="left"/>
        <w:rPr>
          <w:rFonts w:ascii="仿宋_GB2312" w:hAnsi="Calibri" w:eastAsia="仿宋_GB2312" w:cs="仿宋"/>
          <w:kern w:val="0"/>
          <w:sz w:val="32"/>
          <w:szCs w:val="32"/>
        </w:rPr>
      </w:pPr>
    </w:p>
    <w:p w14:paraId="6FC72CD2">
      <w:pPr>
        <w:pStyle w:val="6"/>
        <w:spacing w:before="93"/>
        <w:rPr>
          <w:rFonts w:hAnsi="Calibri" w:cs="仿宋"/>
          <w:sz w:val="32"/>
          <w:szCs w:val="32"/>
        </w:rPr>
      </w:pPr>
    </w:p>
    <w:p w14:paraId="1A05DE07">
      <w:pPr>
        <w:pStyle w:val="6"/>
        <w:spacing w:before="93"/>
        <w:rPr>
          <w:rFonts w:hint="eastAsia" w:hAnsi="Calibri" w:cs="仿宋"/>
          <w:sz w:val="32"/>
          <w:szCs w:val="32"/>
        </w:rPr>
      </w:pPr>
    </w:p>
    <w:p w14:paraId="63C990F9">
      <w:pPr>
        <w:pStyle w:val="6"/>
        <w:spacing w:before="93"/>
        <w:rPr>
          <w:rFonts w:hint="eastAsia" w:hAnsi="Calibri" w:cs="仿宋"/>
          <w:sz w:val="32"/>
          <w:szCs w:val="32"/>
        </w:rPr>
      </w:pPr>
    </w:p>
    <w:p w14:paraId="63A81033">
      <w:pPr>
        <w:pStyle w:val="6"/>
        <w:spacing w:before="93"/>
        <w:rPr>
          <w:rFonts w:hint="eastAsia" w:hAnsi="Calibri" w:cs="仿宋"/>
          <w:sz w:val="32"/>
          <w:szCs w:val="32"/>
        </w:rPr>
      </w:pPr>
    </w:p>
    <w:p w14:paraId="43F764B5">
      <w:pPr>
        <w:pStyle w:val="6"/>
        <w:spacing w:before="93"/>
        <w:rPr>
          <w:rFonts w:hAnsi="Calibri" w:cs="仿宋"/>
          <w:sz w:val="32"/>
          <w:szCs w:val="32"/>
        </w:rPr>
      </w:pPr>
    </w:p>
    <w:p w14:paraId="5B6FD5B8">
      <w:pPr>
        <w:pStyle w:val="6"/>
        <w:spacing w:before="93"/>
        <w:rPr>
          <w:rFonts w:hAnsi="Calibri" w:cs="仿宋"/>
          <w:sz w:val="32"/>
          <w:szCs w:val="32"/>
        </w:rPr>
      </w:pPr>
    </w:p>
    <w:p w14:paraId="1BA649A9">
      <w:pPr>
        <w:pStyle w:val="6"/>
        <w:spacing w:before="93"/>
        <w:rPr>
          <w:rFonts w:hAnsi="Calibri" w:cs="仿宋"/>
          <w:sz w:val="32"/>
          <w:szCs w:val="32"/>
        </w:rPr>
      </w:pPr>
    </w:p>
    <w:p w14:paraId="2D47854D">
      <w:pPr>
        <w:pStyle w:val="6"/>
        <w:spacing w:before="93"/>
        <w:rPr>
          <w:rFonts w:hAnsi="Calibri" w:cs="仿宋"/>
          <w:sz w:val="32"/>
          <w:szCs w:val="32"/>
        </w:rPr>
      </w:pPr>
    </w:p>
    <w:p w14:paraId="5576E45A">
      <w:pPr>
        <w:pStyle w:val="6"/>
        <w:spacing w:before="93"/>
        <w:rPr>
          <w:rFonts w:hAnsi="Calibri" w:cs="仿宋"/>
          <w:sz w:val="32"/>
          <w:szCs w:val="32"/>
        </w:rPr>
      </w:pPr>
    </w:p>
    <w:p w14:paraId="55AC5182">
      <w:pPr>
        <w:pStyle w:val="6"/>
        <w:spacing w:before="93"/>
        <w:rPr>
          <w:rFonts w:hAnsi="Calibri" w:cs="仿宋"/>
          <w:sz w:val="32"/>
          <w:szCs w:val="32"/>
        </w:rPr>
      </w:pPr>
    </w:p>
    <w:p w14:paraId="4A628CD4">
      <w:pPr>
        <w:pStyle w:val="6"/>
        <w:spacing w:before="93"/>
        <w:rPr>
          <w:rFonts w:hAnsi="Calibri" w:cs="仿宋"/>
          <w:sz w:val="32"/>
          <w:szCs w:val="32"/>
        </w:rPr>
      </w:pPr>
    </w:p>
    <w:p w14:paraId="12FB26A2">
      <w:pPr>
        <w:pStyle w:val="6"/>
        <w:spacing w:before="93"/>
        <w:rPr>
          <w:rFonts w:hAnsi="Calibri" w:cs="仿宋"/>
          <w:sz w:val="32"/>
          <w:szCs w:val="32"/>
        </w:rPr>
      </w:pPr>
    </w:p>
    <w:p w14:paraId="6E7ACF33">
      <w:pPr>
        <w:spacing w:line="600" w:lineRule="exact"/>
        <w:jc w:val="center"/>
        <w:outlineLvl w:val="0"/>
        <w:rPr>
          <w:rFonts w:ascii="仿宋" w:hAnsi="仿宋" w:eastAsia="仿宋"/>
        </w:rPr>
      </w:pPr>
      <w:bookmarkStart w:id="77" w:name="_Toc2070"/>
      <w:bookmarkStart w:id="78" w:name="_Toc16334"/>
      <w:r>
        <w:rPr>
          <w:rFonts w:hint="eastAsia" w:ascii="黑体" w:hAnsi="黑体" w:eastAsia="黑体"/>
          <w:sz w:val="44"/>
          <w:szCs w:val="44"/>
        </w:rPr>
        <w:t>第</w:t>
      </w:r>
      <w:r>
        <w:rPr>
          <w:rStyle w:val="17"/>
          <w:rFonts w:hint="eastAsia" w:ascii="黑体" w:hAnsi="黑体" w:eastAsia="黑体"/>
          <w:b w:val="0"/>
        </w:rPr>
        <w:t>五部分 附表</w:t>
      </w:r>
      <w:bookmarkEnd w:id="70"/>
      <w:bookmarkEnd w:id="76"/>
      <w:bookmarkEnd w:id="77"/>
      <w:bookmarkEnd w:id="78"/>
      <w:bookmarkStart w:id="79" w:name="_Toc15396619"/>
    </w:p>
    <w:p w14:paraId="2D9C510F">
      <w:pPr>
        <w:pStyle w:val="4"/>
        <w:rPr>
          <w:rFonts w:ascii="仿宋" w:hAnsi="仿宋" w:eastAsia="仿宋"/>
        </w:rPr>
      </w:pPr>
      <w:bookmarkStart w:id="80" w:name="_Toc3769"/>
      <w:bookmarkStart w:id="81" w:name="_Toc9036"/>
      <w:r>
        <w:rPr>
          <w:rFonts w:hint="eastAsia" w:ascii="仿宋" w:hAnsi="仿宋" w:eastAsia="仿宋"/>
          <w:b w:val="0"/>
        </w:rPr>
        <w:t>一、收</w:t>
      </w:r>
      <w:r>
        <w:rPr>
          <w:rStyle w:val="18"/>
          <w:rFonts w:hint="eastAsia" w:ascii="仿宋" w:hAnsi="仿宋" w:eastAsia="仿宋"/>
          <w:b w:val="0"/>
          <w:bCs w:val="0"/>
        </w:rPr>
        <w:t>入支出决算总表</w:t>
      </w:r>
      <w:bookmarkEnd w:id="79"/>
      <w:bookmarkEnd w:id="80"/>
      <w:bookmarkEnd w:id="81"/>
    </w:p>
    <w:p w14:paraId="03AA937E">
      <w:pPr>
        <w:pStyle w:val="4"/>
        <w:rPr>
          <w:rFonts w:ascii="仿宋" w:hAnsi="仿宋" w:eastAsia="仿宋"/>
        </w:rPr>
      </w:pPr>
      <w:bookmarkStart w:id="82" w:name="_Toc1946"/>
      <w:bookmarkStart w:id="83" w:name="_Toc15396620"/>
      <w:bookmarkStart w:id="84" w:name="_Toc32435"/>
      <w:r>
        <w:rPr>
          <w:rFonts w:hint="eastAsia" w:ascii="仿宋" w:hAnsi="仿宋" w:eastAsia="仿宋"/>
          <w:b w:val="0"/>
        </w:rPr>
        <w:t>二、收</w:t>
      </w:r>
      <w:r>
        <w:rPr>
          <w:rStyle w:val="18"/>
          <w:rFonts w:hint="eastAsia" w:ascii="仿宋" w:hAnsi="仿宋" w:eastAsia="仿宋"/>
          <w:b w:val="0"/>
          <w:bCs w:val="0"/>
        </w:rPr>
        <w:t>入决算表</w:t>
      </w:r>
      <w:bookmarkEnd w:id="82"/>
      <w:bookmarkEnd w:id="83"/>
      <w:bookmarkEnd w:id="84"/>
    </w:p>
    <w:p w14:paraId="6746D49F">
      <w:pPr>
        <w:pStyle w:val="4"/>
        <w:rPr>
          <w:rFonts w:ascii="仿宋" w:hAnsi="仿宋" w:eastAsia="仿宋"/>
        </w:rPr>
      </w:pPr>
      <w:bookmarkStart w:id="85" w:name="_Toc31241"/>
      <w:bookmarkStart w:id="86" w:name="_Toc15944"/>
      <w:bookmarkStart w:id="87"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出决算表</w:t>
      </w:r>
      <w:bookmarkEnd w:id="85"/>
      <w:bookmarkEnd w:id="86"/>
      <w:bookmarkEnd w:id="87"/>
    </w:p>
    <w:p w14:paraId="143F7C05">
      <w:pPr>
        <w:pStyle w:val="4"/>
        <w:rPr>
          <w:rFonts w:ascii="仿宋" w:hAnsi="仿宋" w:eastAsia="仿宋"/>
          <w:b w:val="0"/>
        </w:rPr>
      </w:pPr>
      <w:bookmarkStart w:id="88" w:name="_Toc16695"/>
      <w:bookmarkStart w:id="89" w:name="_Toc15396622"/>
      <w:bookmarkStart w:id="90" w:name="_Toc8155"/>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88"/>
      <w:bookmarkEnd w:id="89"/>
      <w:bookmarkEnd w:id="90"/>
    </w:p>
    <w:p w14:paraId="0A50C4F0">
      <w:pPr>
        <w:pStyle w:val="4"/>
        <w:rPr>
          <w:rStyle w:val="18"/>
          <w:rFonts w:ascii="仿宋" w:hAnsi="仿宋" w:eastAsia="仿宋"/>
          <w:b w:val="0"/>
          <w:bCs w:val="0"/>
        </w:rPr>
      </w:pPr>
      <w:bookmarkStart w:id="91" w:name="_Toc12076"/>
      <w:bookmarkStart w:id="92" w:name="_Toc6427"/>
      <w:bookmarkStart w:id="93"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w:t>
      </w:r>
      <w:bookmarkEnd w:id="91"/>
      <w:bookmarkEnd w:id="92"/>
      <w:bookmarkEnd w:id="93"/>
      <w:bookmarkStart w:id="94" w:name="_Toc15396624"/>
    </w:p>
    <w:p w14:paraId="6969E44C">
      <w:pPr>
        <w:pStyle w:val="4"/>
        <w:rPr>
          <w:rFonts w:ascii="仿宋" w:hAnsi="仿宋" w:eastAsia="仿宋"/>
        </w:rPr>
      </w:pPr>
      <w:bookmarkStart w:id="95" w:name="_Toc32255"/>
      <w:bookmarkStart w:id="96" w:name="_Toc5796"/>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94"/>
      <w:bookmarkEnd w:id="95"/>
      <w:bookmarkEnd w:id="96"/>
    </w:p>
    <w:p w14:paraId="45E27297">
      <w:pPr>
        <w:pStyle w:val="4"/>
        <w:rPr>
          <w:rFonts w:ascii="仿宋" w:hAnsi="仿宋" w:eastAsia="仿宋"/>
        </w:rPr>
      </w:pPr>
      <w:bookmarkStart w:id="97" w:name="_Toc15396625"/>
      <w:bookmarkStart w:id="98" w:name="_Toc24031"/>
      <w:bookmarkStart w:id="99" w:name="_Toc22681"/>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97"/>
      <w:bookmarkEnd w:id="98"/>
      <w:bookmarkEnd w:id="99"/>
    </w:p>
    <w:p w14:paraId="69D293A8">
      <w:pPr>
        <w:pStyle w:val="4"/>
        <w:rPr>
          <w:rFonts w:ascii="仿宋" w:hAnsi="仿宋" w:eastAsia="仿宋"/>
        </w:rPr>
      </w:pPr>
      <w:bookmarkStart w:id="100" w:name="_Toc21993"/>
      <w:bookmarkStart w:id="101" w:name="_Toc16315"/>
      <w:bookmarkStart w:id="102"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100"/>
      <w:bookmarkEnd w:id="101"/>
      <w:bookmarkEnd w:id="102"/>
    </w:p>
    <w:p w14:paraId="1C5B046D">
      <w:pPr>
        <w:pStyle w:val="4"/>
        <w:rPr>
          <w:rFonts w:ascii="仿宋" w:hAnsi="仿宋" w:eastAsia="仿宋"/>
        </w:rPr>
      </w:pPr>
      <w:bookmarkStart w:id="103" w:name="_Toc15396627"/>
      <w:bookmarkStart w:id="104" w:name="_Toc11586"/>
      <w:bookmarkStart w:id="105" w:name="_Toc28862"/>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103"/>
      <w:bookmarkEnd w:id="104"/>
      <w:bookmarkEnd w:id="105"/>
    </w:p>
    <w:p w14:paraId="2FB0E03D">
      <w:pPr>
        <w:pStyle w:val="4"/>
        <w:rPr>
          <w:rFonts w:ascii="仿宋" w:hAnsi="仿宋" w:eastAsia="仿宋"/>
        </w:rPr>
      </w:pPr>
      <w:bookmarkStart w:id="106" w:name="_Toc15396628"/>
      <w:bookmarkStart w:id="107" w:name="_Toc15900"/>
      <w:bookmarkStart w:id="108" w:name="_Toc31124"/>
      <w:r>
        <w:rPr>
          <w:rStyle w:val="18"/>
          <w:rFonts w:hint="eastAsia" w:ascii="仿宋" w:hAnsi="仿宋" w:eastAsia="仿宋"/>
          <w:b w:val="0"/>
          <w:bCs w:val="0"/>
        </w:rPr>
        <w:t>十、</w:t>
      </w:r>
      <w:bookmarkEnd w:id="106"/>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107"/>
      <w:bookmarkEnd w:id="108"/>
    </w:p>
    <w:p w14:paraId="77EBCA51">
      <w:pPr>
        <w:pStyle w:val="4"/>
        <w:rPr>
          <w:rFonts w:ascii="仿宋" w:hAnsi="仿宋" w:eastAsia="仿宋"/>
        </w:rPr>
      </w:pPr>
      <w:bookmarkStart w:id="109" w:name="_Toc15396629"/>
      <w:bookmarkStart w:id="110" w:name="_Toc30894"/>
      <w:bookmarkStart w:id="111" w:name="_Toc27771"/>
      <w:r>
        <w:rPr>
          <w:rStyle w:val="18"/>
          <w:rFonts w:hint="eastAsia" w:ascii="仿宋" w:hAnsi="仿宋" w:eastAsia="仿宋"/>
          <w:b w:val="0"/>
          <w:bCs w:val="0"/>
        </w:rPr>
        <w:t>十一、</w:t>
      </w:r>
      <w:bookmarkEnd w:id="109"/>
      <w:r>
        <w:rPr>
          <w:rFonts w:hint="eastAsia" w:ascii="仿宋" w:hAnsi="仿宋" w:eastAsia="仿宋"/>
          <w:b w:val="0"/>
        </w:rPr>
        <w:t>国</w:t>
      </w:r>
      <w:r>
        <w:rPr>
          <w:rStyle w:val="18"/>
          <w:rFonts w:hint="eastAsia" w:ascii="仿宋" w:hAnsi="仿宋" w:eastAsia="仿宋"/>
          <w:b w:val="0"/>
          <w:bCs w:val="0"/>
        </w:rPr>
        <w:t>有资本经营预算财政拨款收入支出决算表</w:t>
      </w:r>
      <w:bookmarkEnd w:id="110"/>
      <w:bookmarkEnd w:id="111"/>
    </w:p>
    <w:p w14:paraId="53EDE014">
      <w:pPr>
        <w:pStyle w:val="4"/>
        <w:rPr>
          <w:rFonts w:ascii="仿宋" w:hAnsi="仿宋" w:eastAsia="仿宋"/>
        </w:rPr>
      </w:pPr>
      <w:bookmarkStart w:id="112" w:name="_Toc15396630"/>
      <w:bookmarkStart w:id="113" w:name="_Toc21830"/>
      <w:bookmarkStart w:id="114" w:name="_Toc24379"/>
      <w:r>
        <w:rPr>
          <w:rStyle w:val="18"/>
          <w:rFonts w:hint="eastAsia" w:ascii="仿宋" w:hAnsi="仿宋" w:eastAsia="仿宋"/>
          <w:b w:val="0"/>
          <w:bCs w:val="0"/>
        </w:rPr>
        <w:t>十二、</w:t>
      </w:r>
      <w:bookmarkEnd w:id="112"/>
      <w:r>
        <w:rPr>
          <w:rStyle w:val="18"/>
          <w:rFonts w:hint="eastAsia" w:ascii="仿宋" w:hAnsi="仿宋" w:eastAsia="仿宋"/>
          <w:b w:val="0"/>
          <w:bCs w:val="0"/>
        </w:rPr>
        <w:t>国有资本经营预算财政拨款支出决算表</w:t>
      </w:r>
      <w:bookmarkEnd w:id="113"/>
      <w:bookmarkEnd w:id="114"/>
    </w:p>
    <w:p w14:paraId="539DC5FF">
      <w:pPr>
        <w:pStyle w:val="4"/>
        <w:rPr>
          <w:rFonts w:eastAsia="仿宋"/>
        </w:rPr>
      </w:pPr>
      <w:bookmarkStart w:id="115" w:name="_Toc15396631"/>
      <w:bookmarkStart w:id="116" w:name="_Toc2447"/>
      <w:bookmarkStart w:id="117" w:name="_Toc24455"/>
      <w:r>
        <w:rPr>
          <w:rStyle w:val="18"/>
          <w:rFonts w:hint="eastAsia" w:ascii="仿宋" w:hAnsi="仿宋" w:eastAsia="仿宋"/>
          <w:b w:val="0"/>
          <w:bCs w:val="0"/>
        </w:rPr>
        <w:t>十三、</w:t>
      </w:r>
      <w:bookmarkEnd w:id="115"/>
      <w:r>
        <w:rPr>
          <w:rStyle w:val="18"/>
          <w:rFonts w:hint="eastAsia" w:ascii="仿宋" w:hAnsi="仿宋" w:eastAsia="仿宋"/>
          <w:b w:val="0"/>
          <w:bCs w:val="0"/>
        </w:rPr>
        <w:t>财政拨款“三公”经费支出决算表</w:t>
      </w:r>
      <w:bookmarkEnd w:id="116"/>
      <w:bookmarkEnd w:id="117"/>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58E9B">
    <w:pPr>
      <w:pStyle w:val="9"/>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3817474D">
                <w:pPr>
                  <w:pStyle w:val="9"/>
                </w:pPr>
                <w:r>
                  <w:fldChar w:fldCharType="begin"/>
                </w:r>
                <w:r>
                  <w:instrText xml:space="preserve"> PAGE  \* MERGEFORMAT </w:instrText>
                </w:r>
                <w:r>
                  <w:fldChar w:fldCharType="separate"/>
                </w:r>
                <w:r>
                  <w:t>29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AFCE">
    <w:pPr>
      <w:pStyle w:val="9"/>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1802547">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36BB">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E893509"/>
    <w:multiLevelType w:val="singleLevel"/>
    <w:tmpl w:val="6E893509"/>
    <w:lvl w:ilvl="0" w:tentative="0">
      <w:start w:val="1"/>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jODE3Y2RjYmYxOTA5MjMwNGM5NjQ4OTIyZjY2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4449"/>
    <w:rsid w:val="002D6D05"/>
    <w:rsid w:val="002F1818"/>
    <w:rsid w:val="002F567B"/>
    <w:rsid w:val="003216A9"/>
    <w:rsid w:val="00335A74"/>
    <w:rsid w:val="0036561B"/>
    <w:rsid w:val="0037013F"/>
    <w:rsid w:val="00380C92"/>
    <w:rsid w:val="003A0BB7"/>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854"/>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B31C3"/>
    <w:rsid w:val="006C1937"/>
    <w:rsid w:val="006F020C"/>
    <w:rsid w:val="007127B7"/>
    <w:rsid w:val="0071798E"/>
    <w:rsid w:val="00731666"/>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3FA"/>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7A8"/>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07D72"/>
    <w:rsid w:val="00E20A2E"/>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80DEF"/>
    <w:rsid w:val="02524502"/>
    <w:rsid w:val="02E828A9"/>
    <w:rsid w:val="03EF7C67"/>
    <w:rsid w:val="053A62B5"/>
    <w:rsid w:val="060A6EE3"/>
    <w:rsid w:val="06B37672"/>
    <w:rsid w:val="073A6997"/>
    <w:rsid w:val="07CA441A"/>
    <w:rsid w:val="08257571"/>
    <w:rsid w:val="0863220E"/>
    <w:rsid w:val="087150EF"/>
    <w:rsid w:val="089B4CE9"/>
    <w:rsid w:val="0A2032A3"/>
    <w:rsid w:val="0AB319EF"/>
    <w:rsid w:val="0B100BEF"/>
    <w:rsid w:val="0B3A2110"/>
    <w:rsid w:val="0B8A37D8"/>
    <w:rsid w:val="0C005EDC"/>
    <w:rsid w:val="0C7C53DD"/>
    <w:rsid w:val="0DF95D9E"/>
    <w:rsid w:val="0E4F3E6E"/>
    <w:rsid w:val="0F9022FF"/>
    <w:rsid w:val="10C055FF"/>
    <w:rsid w:val="11061B35"/>
    <w:rsid w:val="118107EC"/>
    <w:rsid w:val="11C24C0D"/>
    <w:rsid w:val="11DD6519"/>
    <w:rsid w:val="12A61488"/>
    <w:rsid w:val="13133A0B"/>
    <w:rsid w:val="13723DB8"/>
    <w:rsid w:val="14302302"/>
    <w:rsid w:val="145E16ED"/>
    <w:rsid w:val="14D62EA9"/>
    <w:rsid w:val="151614F8"/>
    <w:rsid w:val="151A266A"/>
    <w:rsid w:val="154C6CC8"/>
    <w:rsid w:val="157A2B3C"/>
    <w:rsid w:val="158A03C0"/>
    <w:rsid w:val="15F34362"/>
    <w:rsid w:val="162E59A7"/>
    <w:rsid w:val="16BB723D"/>
    <w:rsid w:val="1750629D"/>
    <w:rsid w:val="175807D0"/>
    <w:rsid w:val="17B46DA6"/>
    <w:rsid w:val="17E923BB"/>
    <w:rsid w:val="18015F3F"/>
    <w:rsid w:val="18C474BD"/>
    <w:rsid w:val="18DD40DB"/>
    <w:rsid w:val="18E81697"/>
    <w:rsid w:val="19D379B8"/>
    <w:rsid w:val="1B0A3D2A"/>
    <w:rsid w:val="1B2B737F"/>
    <w:rsid w:val="1B910DB4"/>
    <w:rsid w:val="1BE8440E"/>
    <w:rsid w:val="1C1B2F7B"/>
    <w:rsid w:val="1D155CEE"/>
    <w:rsid w:val="1D554B87"/>
    <w:rsid w:val="1E1D1195"/>
    <w:rsid w:val="1E4C7D38"/>
    <w:rsid w:val="1E803E86"/>
    <w:rsid w:val="1E8223CA"/>
    <w:rsid w:val="1EBD29E4"/>
    <w:rsid w:val="1FEC17D3"/>
    <w:rsid w:val="20BF0C96"/>
    <w:rsid w:val="20F57F95"/>
    <w:rsid w:val="22126E3A"/>
    <w:rsid w:val="227059D1"/>
    <w:rsid w:val="232C0139"/>
    <w:rsid w:val="2378337E"/>
    <w:rsid w:val="2383661D"/>
    <w:rsid w:val="23B017D0"/>
    <w:rsid w:val="240371BF"/>
    <w:rsid w:val="24AC7783"/>
    <w:rsid w:val="256911D0"/>
    <w:rsid w:val="25711CC6"/>
    <w:rsid w:val="25C741E6"/>
    <w:rsid w:val="25D6319E"/>
    <w:rsid w:val="25EC3BAF"/>
    <w:rsid w:val="2626133A"/>
    <w:rsid w:val="269C5285"/>
    <w:rsid w:val="27842671"/>
    <w:rsid w:val="284629A2"/>
    <w:rsid w:val="28F76F66"/>
    <w:rsid w:val="293A786B"/>
    <w:rsid w:val="298159CE"/>
    <w:rsid w:val="29FD04D3"/>
    <w:rsid w:val="2A9C5BA4"/>
    <w:rsid w:val="2AB729DE"/>
    <w:rsid w:val="2ABE7A3E"/>
    <w:rsid w:val="2AF8540A"/>
    <w:rsid w:val="2CA234A8"/>
    <w:rsid w:val="2CDA0C05"/>
    <w:rsid w:val="2CE377DE"/>
    <w:rsid w:val="2D450775"/>
    <w:rsid w:val="2D5C32C7"/>
    <w:rsid w:val="2DBE26A4"/>
    <w:rsid w:val="2E80634D"/>
    <w:rsid w:val="2EB72082"/>
    <w:rsid w:val="2EC658E5"/>
    <w:rsid w:val="2EFA178C"/>
    <w:rsid w:val="2F2D14C0"/>
    <w:rsid w:val="2F2D7712"/>
    <w:rsid w:val="2F72275C"/>
    <w:rsid w:val="2FA84FEB"/>
    <w:rsid w:val="30056C3A"/>
    <w:rsid w:val="305111DE"/>
    <w:rsid w:val="30B46D73"/>
    <w:rsid w:val="319F7F4E"/>
    <w:rsid w:val="321E1594"/>
    <w:rsid w:val="32252124"/>
    <w:rsid w:val="32D54349"/>
    <w:rsid w:val="32F56799"/>
    <w:rsid w:val="335C6FDA"/>
    <w:rsid w:val="33791178"/>
    <w:rsid w:val="33876196"/>
    <w:rsid w:val="33925D96"/>
    <w:rsid w:val="339937E1"/>
    <w:rsid w:val="33A855B9"/>
    <w:rsid w:val="340B78F6"/>
    <w:rsid w:val="341808A8"/>
    <w:rsid w:val="34572B3B"/>
    <w:rsid w:val="35D94150"/>
    <w:rsid w:val="366C7E6C"/>
    <w:rsid w:val="36B129D7"/>
    <w:rsid w:val="36E515CA"/>
    <w:rsid w:val="37677539"/>
    <w:rsid w:val="37C130EE"/>
    <w:rsid w:val="383D272C"/>
    <w:rsid w:val="38C51FA1"/>
    <w:rsid w:val="39AE70AB"/>
    <w:rsid w:val="3BCD4BCE"/>
    <w:rsid w:val="3C0C0783"/>
    <w:rsid w:val="3C7C75E3"/>
    <w:rsid w:val="3D0A2E41"/>
    <w:rsid w:val="3D2A5291"/>
    <w:rsid w:val="3D666453"/>
    <w:rsid w:val="3D6B6B23"/>
    <w:rsid w:val="3D9D5A63"/>
    <w:rsid w:val="3DE713D4"/>
    <w:rsid w:val="3E314670"/>
    <w:rsid w:val="3F37192F"/>
    <w:rsid w:val="3F8073EA"/>
    <w:rsid w:val="3F9F3A96"/>
    <w:rsid w:val="409D5D7A"/>
    <w:rsid w:val="41027391"/>
    <w:rsid w:val="41055DF9"/>
    <w:rsid w:val="41085755"/>
    <w:rsid w:val="411221E1"/>
    <w:rsid w:val="4114215A"/>
    <w:rsid w:val="41306BEE"/>
    <w:rsid w:val="41772D31"/>
    <w:rsid w:val="41807B75"/>
    <w:rsid w:val="42402058"/>
    <w:rsid w:val="429E4757"/>
    <w:rsid w:val="436F39FE"/>
    <w:rsid w:val="43D63A7D"/>
    <w:rsid w:val="45240818"/>
    <w:rsid w:val="45833790"/>
    <w:rsid w:val="45886FF9"/>
    <w:rsid w:val="45D34E36"/>
    <w:rsid w:val="45ED50AE"/>
    <w:rsid w:val="47215957"/>
    <w:rsid w:val="4832071D"/>
    <w:rsid w:val="48BF60AB"/>
    <w:rsid w:val="493C27E9"/>
    <w:rsid w:val="49675177"/>
    <w:rsid w:val="496F39ED"/>
    <w:rsid w:val="49B21C86"/>
    <w:rsid w:val="49B90A53"/>
    <w:rsid w:val="49E35145"/>
    <w:rsid w:val="49FF41D3"/>
    <w:rsid w:val="4A875E29"/>
    <w:rsid w:val="4ABE4B76"/>
    <w:rsid w:val="4B6978CC"/>
    <w:rsid w:val="4BE068DB"/>
    <w:rsid w:val="4BF6002B"/>
    <w:rsid w:val="4D2C6E03"/>
    <w:rsid w:val="4DD94895"/>
    <w:rsid w:val="4EA558E3"/>
    <w:rsid w:val="4ECE2238"/>
    <w:rsid w:val="4F5217F8"/>
    <w:rsid w:val="506B78C1"/>
    <w:rsid w:val="50E81293"/>
    <w:rsid w:val="51426BF5"/>
    <w:rsid w:val="515E3450"/>
    <w:rsid w:val="51856AE2"/>
    <w:rsid w:val="51A90A23"/>
    <w:rsid w:val="51DB4B86"/>
    <w:rsid w:val="55333C3E"/>
    <w:rsid w:val="55747599"/>
    <w:rsid w:val="562B5EAA"/>
    <w:rsid w:val="56657B04"/>
    <w:rsid w:val="5691018A"/>
    <w:rsid w:val="56BA0FDC"/>
    <w:rsid w:val="57876693"/>
    <w:rsid w:val="57DD3195"/>
    <w:rsid w:val="587A4EC7"/>
    <w:rsid w:val="58DF0138"/>
    <w:rsid w:val="59E44CEE"/>
    <w:rsid w:val="59F9006D"/>
    <w:rsid w:val="5A3A2B60"/>
    <w:rsid w:val="5A407A4A"/>
    <w:rsid w:val="5AB37B5F"/>
    <w:rsid w:val="5ADC3C17"/>
    <w:rsid w:val="5AF62BE3"/>
    <w:rsid w:val="5BBB524E"/>
    <w:rsid w:val="5DBE13B2"/>
    <w:rsid w:val="5EBA601D"/>
    <w:rsid w:val="5F19442B"/>
    <w:rsid w:val="600357A2"/>
    <w:rsid w:val="60146320"/>
    <w:rsid w:val="60436F72"/>
    <w:rsid w:val="60B53011"/>
    <w:rsid w:val="60CA62C0"/>
    <w:rsid w:val="611411D5"/>
    <w:rsid w:val="614D13CA"/>
    <w:rsid w:val="61BC3E5A"/>
    <w:rsid w:val="622540F5"/>
    <w:rsid w:val="63100901"/>
    <w:rsid w:val="638B61DA"/>
    <w:rsid w:val="63BC2837"/>
    <w:rsid w:val="64CA39A1"/>
    <w:rsid w:val="65BD2897"/>
    <w:rsid w:val="65CE0600"/>
    <w:rsid w:val="670A1B0C"/>
    <w:rsid w:val="67D649E0"/>
    <w:rsid w:val="687234C5"/>
    <w:rsid w:val="69630ADE"/>
    <w:rsid w:val="699E02E9"/>
    <w:rsid w:val="69B53FB1"/>
    <w:rsid w:val="6ABF0DA9"/>
    <w:rsid w:val="6B5C220A"/>
    <w:rsid w:val="6B811C71"/>
    <w:rsid w:val="6C4A05C8"/>
    <w:rsid w:val="6D3B1A89"/>
    <w:rsid w:val="6DA66F95"/>
    <w:rsid w:val="6DE24342"/>
    <w:rsid w:val="6E361438"/>
    <w:rsid w:val="6F887A72"/>
    <w:rsid w:val="6F976446"/>
    <w:rsid w:val="70383246"/>
    <w:rsid w:val="704A4D27"/>
    <w:rsid w:val="715E6CDC"/>
    <w:rsid w:val="71A52B5D"/>
    <w:rsid w:val="71BF4EC2"/>
    <w:rsid w:val="71F118FE"/>
    <w:rsid w:val="72734D90"/>
    <w:rsid w:val="72BB3CBA"/>
    <w:rsid w:val="72D07765"/>
    <w:rsid w:val="72F62F44"/>
    <w:rsid w:val="72FB4660"/>
    <w:rsid w:val="73132092"/>
    <w:rsid w:val="734939BC"/>
    <w:rsid w:val="735C36EF"/>
    <w:rsid w:val="739E1494"/>
    <w:rsid w:val="7412278C"/>
    <w:rsid w:val="74DC4846"/>
    <w:rsid w:val="751F2C26"/>
    <w:rsid w:val="7541494A"/>
    <w:rsid w:val="75AB270C"/>
    <w:rsid w:val="762757AD"/>
    <w:rsid w:val="762F4A21"/>
    <w:rsid w:val="76816FC9"/>
    <w:rsid w:val="76C958B9"/>
    <w:rsid w:val="771D3195"/>
    <w:rsid w:val="78632E2A"/>
    <w:rsid w:val="78DB44A1"/>
    <w:rsid w:val="7904082E"/>
    <w:rsid w:val="793242EA"/>
    <w:rsid w:val="79E61F64"/>
    <w:rsid w:val="79E7B28D"/>
    <w:rsid w:val="7B4B6523"/>
    <w:rsid w:val="7BAB2DA8"/>
    <w:rsid w:val="7C1A0D60"/>
    <w:rsid w:val="7C2309FE"/>
    <w:rsid w:val="7CBA3C7B"/>
    <w:rsid w:val="7CD255D0"/>
    <w:rsid w:val="7D3873A2"/>
    <w:rsid w:val="7D6B0499"/>
    <w:rsid w:val="7D9817C8"/>
    <w:rsid w:val="7DB54128"/>
    <w:rsid w:val="7DEE3196"/>
    <w:rsid w:val="7E3239CA"/>
    <w:rsid w:val="7E515FA1"/>
    <w:rsid w:val="7F413799"/>
    <w:rsid w:val="7F7D336A"/>
    <w:rsid w:val="7F9F20EE"/>
    <w:rsid w:val="9E3A10E2"/>
    <w:rsid w:val="F2E1F9D4"/>
    <w:rsid w:val="F7880819"/>
    <w:rsid w:val="FFFD97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font41"/>
    <w:basedOn w:val="14"/>
    <w:qFormat/>
    <w:uiPriority w:val="0"/>
    <w:rPr>
      <w:rFonts w:hint="eastAsia" w:ascii="微软雅黑" w:hAnsi="微软雅黑" w:eastAsia="微软雅黑" w:cs="微软雅黑"/>
      <w:i/>
      <w:iCs/>
      <w:color w:val="000000"/>
      <w:sz w:val="16"/>
      <w:szCs w:val="16"/>
      <w:u w:val="none"/>
    </w:rPr>
  </w:style>
  <w:style w:type="character" w:customStyle="1" w:styleId="34">
    <w:name w:val="font61"/>
    <w:basedOn w:val="14"/>
    <w:qFormat/>
    <w:uiPriority w:val="0"/>
    <w:rPr>
      <w:rFonts w:hint="eastAsia" w:ascii="微软雅黑" w:hAnsi="微软雅黑" w:eastAsia="微软雅黑" w:cs="微软雅黑"/>
      <w:i/>
      <w:iC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856042496679947"/>
          <c:y val="0.0475161987041037"/>
          <c:w val="0.887171314741036"/>
          <c:h val="0.750194384449244"/>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收支总额</c:v>
                </c:pt>
              </c:strCache>
            </c:strRef>
          </c:cat>
          <c:val>
            <c:numRef>
              <c:f>Sheet1!$B$2</c:f>
              <c:numCache>
                <c:formatCode>General</c:formatCode>
                <c:ptCount val="1"/>
                <c:pt idx="0">
                  <c:v>2191.23</c:v>
                </c:pt>
              </c:numCache>
            </c:numRef>
          </c:val>
        </c:ser>
        <c:ser>
          <c:idx val="1"/>
          <c:order val="1"/>
          <c:tx>
            <c:strRef>
              <c:f>Sheet1!$C$1</c:f>
              <c:strCache>
                <c:ptCount val="1"/>
                <c:pt idx="0">
                  <c:v>2023年</c:v>
                </c:pt>
              </c:strCache>
            </c:strRef>
          </c:tx>
          <c:spPr>
            <a:pattFill prst="wdDnDiag">
              <a:fgClr>
                <a:schemeClr val="accent2"/>
              </a:fgClr>
              <a:bgClr>
                <a:schemeClr val="bg1"/>
              </a:bgClr>
            </a:patt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收支总额</c:v>
                </c:pt>
              </c:strCache>
            </c:strRef>
          </c:cat>
          <c:val>
            <c:numRef>
              <c:f>Sheet1!$C$2</c:f>
              <c:numCache>
                <c:formatCode>General</c:formatCode>
                <c:ptCount val="1"/>
                <c:pt idx="0">
                  <c:v>2432.36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收支总额</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75"/>
        <c:overlap val="-25"/>
        <c:axId val="164322304"/>
        <c:axId val="164377344"/>
      </c:barChart>
      <c:catAx>
        <c:axId val="16432230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77344"/>
        <c:crosses val="autoZero"/>
        <c:auto val="1"/>
        <c:lblAlgn val="ctr"/>
        <c:lblOffset val="100"/>
        <c:noMultiLvlLbl val="0"/>
      </c:catAx>
      <c:valAx>
        <c:axId val="16437734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22304"/>
        <c:crosses val="autoZero"/>
        <c:crossBetween val="between"/>
      </c:valAx>
      <c:spPr>
        <a:noFill/>
        <a:ln>
          <a:noFill/>
        </a:ln>
        <a:effectLst>
          <a:innerShdw blurRad="63500" dist="50800" dir="13500000">
            <a:prstClr val="black">
              <a:alpha val="50000"/>
            </a:prstClr>
          </a:innerShdw>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财政拨款收入</c:v>
                </c:pt>
              </c:strCache>
            </c:strRef>
          </c:cat>
          <c:val>
            <c:numRef>
              <c:f>Sheet1!$B$2</c:f>
              <c:numCache>
                <c:formatCode>General</c:formatCode>
                <c:ptCount val="1"/>
                <c:pt idx="0">
                  <c:v>2432.36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770621399681333"/>
          <c:y val="0.83889418493803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a:solidFill>
                  <a:schemeClr val="bg1"/>
                </a:solidFill>
              </a:ln>
              <a:effectLst/>
            </c:spPr>
          </c:dPt>
          <c:dPt>
            <c:idx val="1"/>
            <c:bubble3D val="0"/>
            <c:spPr>
              <a:pattFill prst="wdDnDiag">
                <a:fgClr>
                  <a:schemeClr val="accent2"/>
                </a:fgClr>
                <a:bgClr>
                  <a:schemeClr val="bg1"/>
                </a:bgClr>
              </a:pattFill>
              <a:ln>
                <a:solidFill>
                  <a:schemeClr val="bg1"/>
                </a:solidFill>
              </a:ln>
              <a:effectLst/>
            </c:spPr>
          </c:dPt>
          <c:dLbls>
            <c:dLbl>
              <c:idx val="0"/>
              <c:layout>
                <c:manualLayout>
                  <c:x val="0.1723931521609"/>
                  <c:y val="-0.029193205944798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61618580150844"/>
                  <c:y val="0.047770700636942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2331.75</c:v>
                </c:pt>
                <c:pt idx="1">
                  <c:v>100.61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30731473722016"/>
          <c:y val="0.93152866242038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1568330811902"/>
          <c:y val="0.00827814569536424"/>
          <c:w val="0.892889561270802"/>
          <c:h val="0.680849889624724"/>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财政拨款收、支总计</c:v>
                </c:pt>
              </c:strCache>
            </c:strRef>
          </c:cat>
          <c:val>
            <c:numRef>
              <c:f>Sheet1!$B$2</c:f>
              <c:numCache>
                <c:formatCode>General</c:formatCode>
                <c:ptCount val="1"/>
                <c:pt idx="0">
                  <c:v>2166.77</c:v>
                </c:pt>
              </c:numCache>
            </c:numRef>
          </c:val>
        </c:ser>
        <c:ser>
          <c:idx val="1"/>
          <c:order val="1"/>
          <c:tx>
            <c:strRef>
              <c:f>Sheet1!$C$1</c:f>
              <c:strCache>
                <c:ptCount val="1"/>
                <c:pt idx="0">
                  <c:v>2023年</c:v>
                </c:pt>
              </c:strCache>
            </c:strRef>
          </c:tx>
          <c:spPr>
            <a:solidFill>
              <a:schemeClr val="accent2"/>
            </a:solidFill>
            <a:ln>
              <a:noFill/>
            </a:ln>
            <a:effectLst/>
          </c:spPr>
          <c:invertIfNegative val="0"/>
          <c:dPt>
            <c:idx val="0"/>
            <c:invertIfNegative val="0"/>
            <c:bubble3D val="0"/>
            <c:spPr>
              <a:pattFill prst="wdDnDiag">
                <a:fgClr>
                  <a:schemeClr val="accent2"/>
                </a:fgClr>
                <a:bgClr>
                  <a:schemeClr val="bg1"/>
                </a:bgClr>
              </a:patt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财政拨款收、支总计</c:v>
                </c:pt>
              </c:strCache>
            </c:strRef>
          </c:cat>
          <c:val>
            <c:numRef>
              <c:f>Sheet1!$C$2</c:f>
              <c:numCache>
                <c:formatCode>General</c:formatCode>
                <c:ptCount val="1"/>
                <c:pt idx="0">
                  <c:v>2432.36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财政拨款收、支总计</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91689728"/>
        <c:axId val="91691264"/>
      </c:barChart>
      <c:catAx>
        <c:axId val="916897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91264"/>
        <c:crosses val="autoZero"/>
        <c:auto val="1"/>
        <c:lblAlgn val="ctr"/>
        <c:lblOffset val="100"/>
        <c:noMultiLvlLbl val="0"/>
      </c:catAx>
      <c:valAx>
        <c:axId val="9169126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68972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01256342111621"/>
          <c:y val="0.00637484062898428"/>
          <c:w val="0.930345494080696"/>
          <c:h val="0.638631534211645"/>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2166.77</c:v>
                </c:pt>
              </c:numCache>
            </c:numRef>
          </c:val>
        </c:ser>
        <c:ser>
          <c:idx val="1"/>
          <c:order val="1"/>
          <c:tx>
            <c:strRef>
              <c:f>Sheet1!$C$1</c:f>
              <c:strCache>
                <c:ptCount val="1"/>
                <c:pt idx="0">
                  <c:v>2023年</c:v>
                </c:pt>
              </c:strCache>
            </c:strRef>
          </c:tx>
          <c:spPr>
            <a:pattFill prst="wdDnDiag">
              <a:fgClr>
                <a:schemeClr val="accent2"/>
              </a:fgClr>
              <a:bgClr>
                <a:schemeClr val="bg1"/>
              </a:bgClr>
            </a:patt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2432.36</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164340096"/>
        <c:axId val="164341632"/>
      </c:barChart>
      <c:catAx>
        <c:axId val="1643400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41632"/>
        <c:crosses val="autoZero"/>
        <c:auto val="1"/>
        <c:lblAlgn val="ctr"/>
        <c:lblOffset val="100"/>
        <c:noMultiLvlLbl val="0"/>
      </c:catAx>
      <c:valAx>
        <c:axId val="164341632"/>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4009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067859021568"/>
          <c:y val="0.280502021563342"/>
          <c:w val="0.520894266175697"/>
          <c:h val="0.667264150943396"/>
        </c:manualLayout>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pattFill prst="horzBrick">
                <a:fgClr>
                  <a:schemeClr val="accent2"/>
                </a:fgClr>
                <a:bgClr>
                  <a:schemeClr val="bg1"/>
                </a:bgClr>
              </a:pattFill>
              <a:ln>
                <a:solidFill>
                  <a:schemeClr val="bg1"/>
                </a:solidFill>
              </a:ln>
              <a:effectLst/>
            </c:spPr>
          </c:dPt>
          <c:dPt>
            <c:idx val="2"/>
            <c:bubble3D val="0"/>
            <c:spPr>
              <a:pattFill prst="wdDnDiag">
                <a:fgClr>
                  <a:schemeClr val="accent3"/>
                </a:fgClr>
                <a:bgClr>
                  <a:schemeClr val="bg1"/>
                </a:bgClr>
              </a:pattFill>
              <a:ln>
                <a:solidFill>
                  <a:schemeClr val="bg1"/>
                </a:solidFill>
              </a:ln>
              <a:effectLst/>
            </c:spPr>
          </c:dPt>
          <c:dLbls>
            <c:dLbl>
              <c:idx val="1"/>
              <c:layout>
                <c:manualLayout>
                  <c:x val="-0.0771921591141179"/>
                  <c:y val="-0.0088084651938472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7276895864362"/>
                  <c:y val="-0.022993569990808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2294.21</c:v>
                </c:pt>
                <c:pt idx="1">
                  <c:v>32.07</c:v>
                </c:pt>
                <c:pt idx="2">
                  <c:v>106.07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149082568807339"/>
          <c:y val="0.04104822128034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三公经费</a:t>
            </a:r>
            <a:r>
              <a:rPr lang="en-US" altLang="zh-CN"/>
              <a:t>”</a:t>
            </a:r>
            <a:r>
              <a:rPr altLang="en-US"/>
              <a:t>财政拨款支出</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13049</Words>
  <Characters>14899</Characters>
  <Lines>123</Lines>
  <Paragraphs>34</Paragraphs>
  <TotalTime>20</TotalTime>
  <ScaleCrop>false</ScaleCrop>
  <LinksUpToDate>false</LinksUpToDate>
  <CharactersWithSpaces>14961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YY</cp:lastModifiedBy>
  <cp:lastPrinted>2023-10-18T03:42:00Z</cp:lastPrinted>
  <dcterms:modified xsi:type="dcterms:W3CDTF">2024-10-14T07:10:43Z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6B70361D626A4593B4A9C4A901EC4F63</vt:lpwstr>
  </property>
</Properties>
</file>