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广元市就业创业促进中心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sdt>
      <w:sdtPr>
        <w:rPr>
          <w:rFonts w:hint="eastAsia" w:ascii="黑体" w:hAnsi="黑体" w:eastAsia="黑体" w:cs="黑体"/>
          <w:color w:val="auto"/>
          <w:kern w:val="2"/>
          <w:sz w:val="32"/>
          <w:szCs w:val="32"/>
          <w:lang w:val="en-US" w:eastAsia="zh-CN" w:bidi="ar-SA"/>
        </w:rPr>
        <w:id w:val="147470996"/>
        <w15:color w:val="DBDBDB"/>
        <w:docPartObj>
          <w:docPartGallery w:val="Table of Contents"/>
          <w:docPartUnique/>
        </w:docPartObj>
      </w:sdtPr>
      <w:sdtEndPr>
        <w:rPr>
          <w:rFonts w:hint="eastAsia" w:ascii="黑体" w:hAnsi="黑体" w:eastAsia="黑体" w:cs="黑体"/>
          <w:color w:val="auto"/>
          <w:kern w:val="2"/>
          <w:sz w:val="32"/>
          <w:szCs w:val="32"/>
          <w:lang w:val="en-US" w:eastAsia="zh-CN" w:bidi="ar-SA"/>
        </w:rPr>
      </w:sdtEndPr>
      <w:sdtContent>
        <w:p>
          <w:pPr>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default" w:ascii="仿宋_GB2312" w:hAnsi="Times New Roman" w:eastAsia="仿宋_GB2312" w:cs="仿宋_GB2312"/>
              <w:kern w:val="2"/>
              <w:sz w:val="30"/>
              <w:szCs w:val="30"/>
              <w:lang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TOC \o "1-3" \h \u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_Toc14072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基本职能及主要工作</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_Toc14072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r>
            <w:rPr>
              <w:rFonts w:hint="default" w:ascii="仿宋_GB2312" w:hAnsi="Times New Roman" w:eastAsia="仿宋_GB2312" w:cs="仿宋_GB2312"/>
              <w:kern w:val="2"/>
              <w:sz w:val="30"/>
              <w:szCs w:val="30"/>
              <w:lang w:eastAsia="zh-CN" w:bidi="ar-SA"/>
            </w:rPr>
            <w:t>3</w:t>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default" w:ascii="仿宋_GB2312" w:hAnsi="Times New Roman" w:eastAsia="仿宋_GB2312" w:cs="仿宋_GB2312"/>
              <w:kern w:val="2"/>
              <w:sz w:val="30"/>
              <w:szCs w:val="30"/>
              <w:lang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_Toc3887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职能简介</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_Toc3887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r>
            <w:rPr>
              <w:rFonts w:hint="default" w:ascii="仿宋_GB2312" w:hAnsi="Times New Roman" w:eastAsia="仿宋_GB2312" w:cs="仿宋_GB2312"/>
              <w:kern w:val="2"/>
              <w:sz w:val="30"/>
              <w:szCs w:val="30"/>
              <w:lang w:eastAsia="zh-CN" w:bidi="ar-SA"/>
            </w:rPr>
            <w:t>3</w:t>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_Toc26897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2024年重点工作</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_Toc26897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3</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_Toc20104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部门预算单位构成</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_Toc20104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3</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_Toc13504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三、 收支预算情况说明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_Toc13504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3</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_Toc11886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收入预算情况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_Toc11886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_Toc11219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支出预算情况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_Toc11219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_Toc26115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四、 财政拨款收支预算情况说明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_Toc26115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_Toc2889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五、 一般公共预算当年拨款情况说明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_Toc2889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_Toc7973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一般公共预算当年拨款规模变化情况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_Toc7973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_Toc6904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一般公共预算当年拨款结构情况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_Toc6904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4</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_Toc31228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（三） 一般公共预算当年拨款具体使用情况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_Toc31228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5</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_Toc15208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六、 一般公共预算基本支出情况说明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_Toc15208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6</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_Toc6633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七、 “三公”经费财政拨款预算安排情况说明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_Toc6633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6</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_Toc7054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公务接待费</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_Toc7054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6</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_Toc28374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公务用车购置及运行维护费</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_Toc28374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6</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default" w:ascii="仿宋_GB2312" w:hAnsi="Times New Roman" w:eastAsia="仿宋_GB2312" w:cs="仿宋_GB2312"/>
              <w:kern w:val="2"/>
              <w:sz w:val="30"/>
              <w:szCs w:val="30"/>
              <w:lang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_Toc7496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（三） 因公出国（境）经费</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_Toc7496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r>
            <w:rPr>
              <w:rFonts w:hint="default" w:ascii="仿宋_GB2312" w:hAnsi="Times New Roman" w:eastAsia="仿宋_GB2312" w:cs="仿宋_GB2312"/>
              <w:kern w:val="2"/>
              <w:sz w:val="30"/>
              <w:szCs w:val="30"/>
              <w:lang w:eastAsia="zh-CN" w:bidi="ar-SA"/>
            </w:rPr>
            <w:t>7</w:t>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_Toc17987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八、 政府性基金预算支出情况说明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_Toc17987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_Toc26313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九、 国有资本经营预算支出情况说明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_Toc26313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_Toc18822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十、 其他重要事项的情况说明</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_Toc18822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_Toc20565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（一） 机关运行经费</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_Toc20565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_Toc31494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（二） 政府采购情况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_Toc31494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_Toc6403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（三） 国有资产占有使用情况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_Toc6403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7</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default" w:ascii="仿宋_GB2312" w:hAnsi="Times New Roman" w:eastAsia="仿宋_GB2312" w:cs="仿宋_GB2312"/>
              <w:kern w:val="2"/>
              <w:sz w:val="30"/>
              <w:szCs w:val="30"/>
              <w:lang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_Toc4750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（四） 绩效目标设置情况</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_Toc4750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r>
            <w:rPr>
              <w:rFonts w:hint="default" w:ascii="仿宋_GB2312" w:hAnsi="Times New Roman" w:eastAsia="仿宋_GB2312" w:cs="仿宋_GB2312"/>
              <w:kern w:val="2"/>
              <w:sz w:val="30"/>
              <w:szCs w:val="30"/>
              <w:lang w:eastAsia="zh-CN" w:bidi="ar-SA"/>
            </w:rPr>
            <w:t>7</w:t>
          </w: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HYPERLINK \l _Toc25177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十一、 名词解释</w:t>
          </w:r>
          <w:r>
            <w:rPr>
              <w:rFonts w:hint="eastAsia" w:ascii="仿宋_GB2312" w:hAnsi="Times New Roman" w:eastAsia="仿宋_GB2312" w:cs="仿宋_GB2312"/>
              <w:kern w:val="2"/>
              <w:sz w:val="30"/>
              <w:szCs w:val="30"/>
              <w:lang w:val="en-US" w:eastAsia="zh-CN" w:bidi="ar-SA"/>
            </w:rPr>
            <w:tab/>
          </w:r>
          <w:r>
            <w:rPr>
              <w:rFonts w:hint="eastAsia" w:ascii="仿宋_GB2312" w:hAnsi="Times New Roman" w:eastAsia="仿宋_GB2312" w:cs="仿宋_GB2312"/>
              <w:kern w:val="2"/>
              <w:sz w:val="30"/>
              <w:szCs w:val="30"/>
              <w:lang w:val="en-US" w:eastAsia="zh-CN" w:bidi="ar-SA"/>
            </w:rPr>
            <w:fldChar w:fldCharType="begin"/>
          </w:r>
          <w:r>
            <w:rPr>
              <w:rFonts w:hint="eastAsia" w:ascii="仿宋_GB2312" w:hAnsi="Times New Roman" w:eastAsia="仿宋_GB2312" w:cs="仿宋_GB2312"/>
              <w:kern w:val="2"/>
              <w:sz w:val="30"/>
              <w:szCs w:val="30"/>
              <w:lang w:val="en-US" w:eastAsia="zh-CN" w:bidi="ar-SA"/>
            </w:rPr>
            <w:instrText xml:space="preserve"> PAGEREF _Toc25177 \h </w:instrText>
          </w:r>
          <w:r>
            <w:rPr>
              <w:rFonts w:hint="eastAsia" w:ascii="仿宋_GB2312" w:hAnsi="Times New Roman" w:eastAsia="仿宋_GB2312" w:cs="仿宋_GB2312"/>
              <w:kern w:val="2"/>
              <w:sz w:val="30"/>
              <w:szCs w:val="30"/>
              <w:lang w:val="en-US" w:eastAsia="zh-CN" w:bidi="ar-SA"/>
            </w:rPr>
            <w:fldChar w:fldCharType="separate"/>
          </w:r>
          <w:r>
            <w:rPr>
              <w:rFonts w:hint="eastAsia" w:ascii="仿宋_GB2312" w:hAnsi="Times New Roman" w:eastAsia="仿宋_GB2312" w:cs="仿宋_GB2312"/>
              <w:kern w:val="2"/>
              <w:sz w:val="30"/>
              <w:szCs w:val="30"/>
              <w:lang w:val="en-US" w:eastAsia="zh-CN" w:bidi="ar-SA"/>
            </w:rPr>
            <w:t>8</w:t>
          </w:r>
          <w:r>
            <w:rPr>
              <w:rFonts w:hint="eastAsia" w:ascii="仿宋_GB2312" w:hAnsi="Times New Roman" w:eastAsia="仿宋_GB2312" w:cs="仿宋_GB2312"/>
              <w:kern w:val="2"/>
              <w:sz w:val="30"/>
              <w:szCs w:val="30"/>
              <w:lang w:val="en-US" w:eastAsia="zh-CN" w:bidi="ar-SA"/>
            </w:rPr>
            <w:fldChar w:fldCharType="end"/>
          </w:r>
          <w:r>
            <w:rPr>
              <w:rFonts w:hint="eastAsia" w:ascii="仿宋_GB2312" w:hAnsi="Times New Roman" w:eastAsia="仿宋_GB2312" w:cs="仿宋_GB2312"/>
              <w:kern w:val="2"/>
              <w:sz w:val="30"/>
              <w:szCs w:val="30"/>
              <w:lang w:val="en-US" w:eastAsia="zh-CN" w:bidi="ar-SA"/>
            </w:rPr>
            <w:fldChar w:fldCharType="end"/>
          </w:r>
        </w:p>
        <w:p>
          <w:pPr>
            <w:rPr>
              <w:rFonts w:hint="eastAsia" w:ascii="仿宋_GB2312" w:hAnsi="Times New Roman" w:eastAsia="仿宋_GB2312" w:cs="仿宋_GB2312"/>
              <w:kern w:val="2"/>
              <w:sz w:val="30"/>
              <w:szCs w:val="30"/>
              <w:lang w:val="en-US" w:eastAsia="zh-CN" w:bidi="ar-SA"/>
            </w:rPr>
          </w:pPr>
        </w:p>
        <w:p>
          <w:pPr>
            <w:pStyle w:val="2"/>
            <w:rPr>
              <w:rFonts w:hint="eastAsia"/>
              <w:lang w:val="en-US" w:eastAsia="zh-CN"/>
            </w:rPr>
          </w:pPr>
        </w:p>
        <w:p>
          <w:pPr>
            <w:pStyle w:val="19"/>
            <w:keepNext w:val="0"/>
            <w:keepLines w:val="0"/>
            <w:pageBreakBefore w:val="0"/>
            <w:widowControl w:val="0"/>
            <w:tabs>
              <w:tab w:val="right" w:leader="dot" w:pos="8845"/>
            </w:tabs>
            <w:kinsoku/>
            <w:wordWrap/>
            <w:overflowPunct/>
            <w:topLinePunct w:val="0"/>
            <w:autoSpaceDE/>
            <w:autoSpaceDN/>
            <w:bidi w:val="0"/>
            <w:adjustRightInd/>
            <w:snapToGrid w:val="0"/>
            <w:spacing w:line="240" w:lineRule="atLeast"/>
            <w:textAlignment w:val="auto"/>
          </w:pPr>
          <w:r>
            <w:rPr>
              <w:rFonts w:hint="eastAsia" w:ascii="仿宋_GB2312" w:hAnsi="Times New Roman" w:eastAsia="仿宋_GB2312" w:cs="仿宋_GB2312"/>
              <w:kern w:val="2"/>
              <w:sz w:val="30"/>
              <w:szCs w:val="30"/>
              <w:lang w:val="en-US" w:eastAsia="zh-CN" w:bidi="ar-SA"/>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0" w:name="_Toc1407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r>
        <w:rPr>
          <w:rFonts w:hint="default" w:ascii="黑体" w:hAnsi="黑体" w:eastAsia="黑体" w:cs="黑体"/>
          <w:sz w:val="32"/>
          <w:szCs w:val="32"/>
          <w:lang w:eastAsia="zh-CN"/>
        </w:rPr>
        <w:t>一、</w:t>
      </w:r>
      <w:r>
        <w:rPr>
          <w:rFonts w:hint="eastAsia" w:ascii="黑体" w:hAnsi="黑体" w:eastAsia="黑体" w:cs="黑体"/>
          <w:sz w:val="32"/>
          <w:szCs w:val="32"/>
          <w:lang w:val="en-US" w:eastAsia="zh-CN"/>
        </w:rPr>
        <w:t>基本职能及主要工作</w:t>
      </w:r>
      <w:bookmarkEnd w:id="0"/>
    </w:p>
    <w:p>
      <w:pPr>
        <w:pStyle w:val="20"/>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leftChars="0" w:right="0" w:firstLine="420" w:firstLineChars="0"/>
        <w:jc w:val="both"/>
        <w:textAlignment w:val="auto"/>
        <w:outlineLvl w:val="0"/>
        <w:rPr>
          <w:rFonts w:hint="eastAsia" w:ascii="楷体_GB2312" w:hAnsi="楷体_GB2312" w:eastAsia="楷体_GB2312" w:cs="楷体_GB2312"/>
          <w:sz w:val="32"/>
          <w:szCs w:val="32"/>
          <w:lang w:val="en-US" w:eastAsia="zh-CN"/>
        </w:rPr>
      </w:pPr>
      <w:bookmarkStart w:id="1" w:name="_Toc3887"/>
      <w:r>
        <w:rPr>
          <w:rFonts w:hint="eastAsia" w:ascii="楷体_GB2312" w:hAnsi="楷体_GB2312" w:eastAsia="楷体_GB2312" w:cs="楷体_GB2312"/>
          <w:sz w:val="32"/>
          <w:szCs w:val="32"/>
          <w:lang w:val="en-US" w:eastAsia="zh-CN"/>
        </w:rPr>
        <w:t>职能简介</w:t>
      </w:r>
      <w:bookmarkEnd w:id="1"/>
    </w:p>
    <w:p>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eastAsia="仿宋_GB2312" w:cs="仿宋_GB2312"/>
          <w:color w:val="333333"/>
          <w:spacing w:val="0"/>
          <w:kern w:val="0"/>
          <w:sz w:val="32"/>
          <w:szCs w:val="32"/>
          <w:highlight w:val="none"/>
          <w:shd w:val="clear" w:color="auto" w:fill="FFFFFF"/>
          <w:lang w:val="en-US" w:eastAsia="zh-CN" w:bidi="ar"/>
        </w:rPr>
      </w:pPr>
      <w:r>
        <w:rPr>
          <w:rFonts w:hint="eastAsia" w:ascii="仿宋_GB2312" w:eastAsia="仿宋_GB2312" w:cs="仿宋_GB2312"/>
          <w:color w:val="333333"/>
          <w:spacing w:val="0"/>
          <w:kern w:val="0"/>
          <w:sz w:val="32"/>
          <w:szCs w:val="32"/>
          <w:shd w:val="clear" w:color="auto" w:fill="FFFFFF"/>
          <w:lang w:val="en-US" w:eastAsia="zh-CN" w:bidi="ar"/>
        </w:rPr>
        <w:t>参与拟定全市就业创业发展规划和政策；负责推动全市就业创业服务、就业援助、人力资源开发指导、公共创业服务体系建设、人力资源信息数据库建设、就业失业监测、人力资源供给监测预测及形势分析、职业技能培训、失业保险待遇发放及稳定岗位政策落实等工作；推进基层公共就业创业服务能力提升试点、劳务专合社运营指导、</w:t>
      </w:r>
      <w:r>
        <w:rPr>
          <w:rFonts w:hint="eastAsia" w:ascii="仿宋_GB2312" w:eastAsia="仿宋_GB2312" w:cs="仿宋_GB2312"/>
          <w:color w:val="333333"/>
          <w:spacing w:val="0"/>
          <w:kern w:val="0"/>
          <w:sz w:val="32"/>
          <w:szCs w:val="32"/>
          <w:highlight w:val="none"/>
          <w:shd w:val="clear" w:color="auto" w:fill="FFFFFF"/>
          <w:lang w:val="en-US" w:eastAsia="zh-CN" w:bidi="ar"/>
        </w:rPr>
        <w:t>脱贫人口稳岗就业等工作。</w:t>
      </w:r>
    </w:p>
    <w:p>
      <w:pPr>
        <w:pStyle w:val="20"/>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leftChars="0" w:right="0" w:firstLine="420" w:firstLineChars="0"/>
        <w:jc w:val="both"/>
        <w:textAlignment w:val="auto"/>
        <w:outlineLvl w:val="0"/>
        <w:rPr>
          <w:rFonts w:hint="eastAsia" w:ascii="楷体_GB2312" w:hAnsi="楷体_GB2312" w:eastAsia="楷体_GB2312" w:cs="楷体_GB2312"/>
          <w:sz w:val="32"/>
          <w:szCs w:val="32"/>
          <w:lang w:eastAsia="zh-CN"/>
        </w:rPr>
      </w:pPr>
      <w:bookmarkStart w:id="2" w:name="_Toc26897"/>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Calibri" w:eastAsia="仿宋_GB2312" w:cs="仿宋_GB2312"/>
          <w:color w:val="333333"/>
          <w:spacing w:val="0"/>
          <w:kern w:val="0"/>
          <w:sz w:val="32"/>
          <w:szCs w:val="32"/>
          <w:shd w:val="clear" w:color="auto" w:fill="FFFFFF"/>
          <w:lang w:val="en-US" w:eastAsia="zh-CN" w:bidi="ar"/>
        </w:rPr>
        <w:t>2024年，全市就业创业工作将坚持以习近平新时代中国特色社会主义思想为指引，坚定不移贯彻落实党的二十大和中央、省、市稳就业决策部署，坚持高质量充分就业目标和稳中求进工作总基调，扎实开展党建引领促就业和“数智”就业示范建设，深化政策落实快办、重点群体就业创业扶持、服务能力提升三大行动，全年确保实现城镇新增就业3.35万人，城镇失业人员再就业1.1万人，就业困难人员就业0.26万人，城镇调查失业率5.5%左右，保持就业局势稳定，为广元市加快建设川陕甘结合部现代化中心城市贡献力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3" w:name="_Toc20104"/>
      <w:r>
        <w:rPr>
          <w:rFonts w:hint="default" w:ascii="黑体" w:hAnsi="黑体" w:eastAsia="黑体" w:cs="黑体"/>
          <w:sz w:val="32"/>
          <w:szCs w:val="32"/>
          <w:lang w:eastAsia="zh-CN"/>
        </w:rPr>
        <w:t>二、</w:t>
      </w:r>
      <w:r>
        <w:rPr>
          <w:rFonts w:hint="eastAsia" w:ascii="黑体" w:hAnsi="黑体" w:eastAsia="黑体" w:cs="黑体"/>
          <w:sz w:val="32"/>
          <w:szCs w:val="32"/>
          <w:lang w:val="en-US" w:eastAsia="zh-CN"/>
        </w:rPr>
        <w:t>部门预算单位构成</w:t>
      </w:r>
      <w:bookmarkEnd w:id="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我单位为</w:t>
      </w:r>
      <w:r>
        <w:rPr>
          <w:rFonts w:hint="eastAsia" w:ascii="仿宋_GB2312" w:eastAsia="仿宋_GB2312" w:cs="仿宋_GB2312"/>
          <w:color w:val="333333"/>
          <w:spacing w:val="0"/>
          <w:kern w:val="0"/>
          <w:sz w:val="32"/>
          <w:szCs w:val="32"/>
          <w:shd w:val="clear" w:color="auto" w:fill="FFFFFF"/>
          <w:lang w:val="en-US" w:eastAsia="zh-CN" w:bidi="ar"/>
        </w:rPr>
        <w:t>广元市人力资源和社会保障局</w:t>
      </w:r>
      <w:r>
        <w:rPr>
          <w:rFonts w:hint="eastAsia" w:ascii="仿宋_GB2312" w:hAnsi="仿宋_GB2312" w:eastAsia="仿宋_GB2312" w:cs="仿宋_GB2312"/>
          <w:sz w:val="32"/>
          <w:szCs w:val="32"/>
          <w:lang w:val="en-US" w:eastAsia="zh-CN"/>
        </w:rPr>
        <w:t>的下属</w:t>
      </w:r>
      <w:r>
        <w:rPr>
          <w:rFonts w:hint="eastAsia" w:ascii="仿宋_GB2312" w:eastAsia="仿宋_GB2312" w:cs="仿宋_GB2312"/>
          <w:color w:val="333333"/>
          <w:spacing w:val="0"/>
          <w:kern w:val="0"/>
          <w:sz w:val="32"/>
          <w:szCs w:val="32"/>
          <w:shd w:val="clear" w:color="auto" w:fill="FFFFFF"/>
          <w:lang w:val="en-US" w:eastAsia="zh-CN" w:bidi="ar"/>
        </w:rPr>
        <w:t>参照公务员管理的公益一类事业单位，属</w:t>
      </w:r>
      <w:r>
        <w:rPr>
          <w:rFonts w:hint="eastAsia" w:ascii="仿宋_GB2312" w:hAnsi="仿宋_GB2312" w:eastAsia="仿宋_GB2312" w:cs="仿宋_GB2312"/>
          <w:sz w:val="32"/>
          <w:szCs w:val="32"/>
          <w:lang w:val="en-US" w:eastAsia="zh-CN"/>
        </w:rPr>
        <w:t>二级预算单位，无下属机构。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4" w:name="_Toc13504"/>
      <w:r>
        <w:rPr>
          <w:rFonts w:hint="default" w:ascii="黑体" w:hAnsi="黑体" w:eastAsia="黑体" w:cs="黑体"/>
          <w:sz w:val="32"/>
          <w:szCs w:val="32"/>
          <w:lang w:eastAsia="zh-CN"/>
        </w:rPr>
        <w:t>三、</w:t>
      </w:r>
      <w:r>
        <w:rPr>
          <w:rFonts w:hint="eastAsia" w:ascii="黑体" w:hAnsi="黑体" w:eastAsia="黑体" w:cs="黑体"/>
          <w:sz w:val="32"/>
          <w:szCs w:val="32"/>
          <w:lang w:val="en-US" w:eastAsia="zh-CN"/>
        </w:rPr>
        <w:t>收支预算情况说明</w:t>
      </w:r>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按照综合预算的原则，我中心所有收入和支出均纳入部门预算管理。收入包括：一般公共预算拨款收入；支出包括：社会保障和就业支出、卫生健康支出、</w:t>
      </w:r>
      <w:r>
        <w:rPr>
          <w:rFonts w:hint="eastAsia" w:ascii="仿宋_GB2312" w:eastAsia="仿宋_GB2312" w:cs="仿宋_GB2312"/>
          <w:color w:val="333333"/>
          <w:spacing w:val="0"/>
          <w:kern w:val="0"/>
          <w:sz w:val="32"/>
          <w:szCs w:val="32"/>
          <w:shd w:val="clear" w:color="auto" w:fill="FFFFFF"/>
          <w:lang w:val="en-US" w:eastAsia="zh-CN" w:bidi="ar"/>
        </w:rPr>
        <w:t>农林水支出、</w:t>
      </w:r>
      <w:r>
        <w:rPr>
          <w:rFonts w:hint="eastAsia" w:ascii="仿宋_GB2312" w:hAnsi="仿宋_GB2312" w:eastAsia="仿宋_GB2312" w:cs="仿宋_GB2312"/>
          <w:sz w:val="32"/>
          <w:szCs w:val="32"/>
          <w:lang w:val="en-US" w:eastAsia="zh-CN"/>
        </w:rPr>
        <w:t>住房保障支出。2024年收支预算总数643.13万元,比2023年收支预算总数增加21.98万元，主要原因是单位年度考核奖纳入了2024年预算。</w:t>
      </w:r>
    </w:p>
    <w:p>
      <w:pPr>
        <w:pStyle w:val="2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leftChars="0" w:right="0" w:rightChars="0" w:firstLine="420" w:firstLineChars="0"/>
        <w:jc w:val="both"/>
        <w:textAlignment w:val="auto"/>
        <w:outlineLvl w:val="0"/>
        <w:rPr>
          <w:rFonts w:hint="eastAsia" w:ascii="楷体_GB2312" w:hAnsi="楷体_GB2312" w:eastAsia="楷体_GB2312" w:cs="楷体_GB2312"/>
          <w:sz w:val="32"/>
          <w:szCs w:val="32"/>
          <w:lang w:val="en-US" w:eastAsia="zh-CN"/>
        </w:rPr>
      </w:pPr>
      <w:bookmarkStart w:id="5" w:name="_Toc11886"/>
      <w:r>
        <w:rPr>
          <w:rFonts w:hint="eastAsia" w:ascii="楷体_GB2312" w:hAnsi="楷体_GB2312" w:eastAsia="楷体_GB2312" w:cs="楷体_GB2312"/>
          <w:sz w:val="32"/>
          <w:szCs w:val="32"/>
          <w:lang w:val="en-US" w:eastAsia="zh-CN"/>
        </w:rPr>
        <w:t>收入预算情况</w:t>
      </w:r>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2024年收入预算643.13万元，其中：一般公共预算拨款收入643.13万元，占100%。</w:t>
      </w:r>
    </w:p>
    <w:p>
      <w:pPr>
        <w:pStyle w:val="2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leftChars="0" w:right="0" w:rightChars="0" w:firstLine="420" w:firstLineChars="0"/>
        <w:jc w:val="both"/>
        <w:textAlignment w:val="auto"/>
        <w:outlineLvl w:val="0"/>
        <w:rPr>
          <w:rFonts w:hint="eastAsia" w:ascii="楷体_GB2312" w:hAnsi="楷体_GB2312" w:eastAsia="楷体_GB2312" w:cs="楷体_GB2312"/>
          <w:sz w:val="32"/>
          <w:szCs w:val="32"/>
          <w:lang w:val="en-US" w:eastAsia="zh-CN"/>
        </w:rPr>
      </w:pPr>
      <w:bookmarkStart w:id="6" w:name="_Toc11219"/>
      <w:r>
        <w:rPr>
          <w:rFonts w:hint="eastAsia" w:ascii="楷体_GB2312" w:hAnsi="楷体_GB2312" w:eastAsia="楷体_GB2312" w:cs="楷体_GB2312"/>
          <w:sz w:val="32"/>
          <w:szCs w:val="32"/>
          <w:lang w:val="en-US" w:eastAsia="zh-CN"/>
        </w:rPr>
        <w:t>支出预算情况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2024年支出预算643.13万元，其中：基本支出613.82万元，占95.44%；项目支出29.31万元，占4.56%</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7" w:name="_Toc26115"/>
      <w:r>
        <w:rPr>
          <w:rFonts w:hint="default" w:ascii="黑体" w:hAnsi="黑体" w:eastAsia="黑体" w:cs="黑体"/>
          <w:sz w:val="32"/>
          <w:szCs w:val="32"/>
          <w:lang w:eastAsia="zh-CN"/>
        </w:rPr>
        <w:t>四、</w:t>
      </w:r>
      <w:r>
        <w:rPr>
          <w:rFonts w:hint="eastAsia" w:ascii="黑体" w:hAnsi="黑体" w:eastAsia="黑体" w:cs="黑体"/>
          <w:sz w:val="32"/>
          <w:szCs w:val="32"/>
          <w:lang w:val="en-US" w:eastAsia="zh-CN"/>
        </w:rPr>
        <w:t>财政拨款收支预算情况说明</w:t>
      </w:r>
      <w:bookmarkEnd w:id="7"/>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2024年财政拨款收支预算总数643.13万元,比2023年财政拨款收支预算总数增加21.98万元，主要原因是单位年度考核奖纳入了2024年预算。</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收入包括：本年一般公共预算拨款收入643.13万元。</w:t>
      </w:r>
      <w:r>
        <w:rPr>
          <w:rFonts w:hint="default" w:ascii="仿宋_GB2312" w:hAnsi="Calibri" w:eastAsia="仿宋_GB2312" w:cs="仿宋_GB2312"/>
          <w:color w:val="auto"/>
          <w:kern w:val="2"/>
          <w:sz w:val="32"/>
          <w:szCs w:val="32"/>
          <w:lang w:val="en-US" w:eastAsia="zh-CN" w:bidi="ar"/>
        </w:rPr>
        <w:t>支出包括：社会保障和就业支出</w:t>
      </w:r>
      <w:r>
        <w:rPr>
          <w:rFonts w:hint="default" w:ascii="仿宋_GB2312" w:eastAsia="仿宋_GB2312" w:cs="仿宋_GB2312"/>
          <w:color w:val="auto"/>
          <w:kern w:val="2"/>
          <w:sz w:val="32"/>
          <w:szCs w:val="32"/>
          <w:lang w:eastAsia="zh-CN" w:bidi="ar"/>
        </w:rPr>
        <w:t>577.64万元</w:t>
      </w:r>
      <w:r>
        <w:rPr>
          <w:rFonts w:hint="default" w:ascii="仿宋_GB2312" w:hAnsi="Calibri" w:eastAsia="仿宋_GB2312" w:cs="仿宋_GB2312"/>
          <w:color w:val="auto"/>
          <w:kern w:val="2"/>
          <w:sz w:val="32"/>
          <w:szCs w:val="32"/>
          <w:lang w:val="en-US" w:eastAsia="zh-CN" w:bidi="ar"/>
        </w:rPr>
        <w:t>、卫生健康支出</w:t>
      </w:r>
      <w:r>
        <w:rPr>
          <w:rFonts w:hint="default" w:ascii="仿宋_GB2312" w:eastAsia="仿宋_GB2312" w:cs="仿宋_GB2312"/>
          <w:color w:val="auto"/>
          <w:kern w:val="2"/>
          <w:sz w:val="32"/>
          <w:szCs w:val="32"/>
          <w:lang w:eastAsia="zh-CN" w:bidi="ar"/>
        </w:rPr>
        <w:t>17.15万元</w:t>
      </w:r>
      <w:r>
        <w:rPr>
          <w:rFonts w:hint="default" w:ascii="仿宋_GB2312" w:hAnsi="Calibri" w:eastAsia="仿宋_GB2312" w:cs="仿宋_GB2312"/>
          <w:color w:val="auto"/>
          <w:kern w:val="2"/>
          <w:sz w:val="32"/>
          <w:szCs w:val="32"/>
          <w:lang w:val="en-US" w:eastAsia="zh-CN" w:bidi="ar"/>
        </w:rPr>
        <w:t>、</w:t>
      </w:r>
      <w:r>
        <w:rPr>
          <w:rFonts w:hint="default" w:ascii="仿宋_GB2312" w:eastAsia="仿宋_GB2312" w:cs="仿宋_GB2312"/>
          <w:color w:val="auto"/>
          <w:kern w:val="2"/>
          <w:sz w:val="32"/>
          <w:szCs w:val="32"/>
          <w:lang w:eastAsia="zh-CN" w:bidi="ar"/>
        </w:rPr>
        <w:t> 农林水支出3.64万元、</w:t>
      </w:r>
      <w:r>
        <w:rPr>
          <w:rFonts w:hint="default" w:ascii="仿宋_GB2312" w:hAnsi="Calibri" w:eastAsia="仿宋_GB2312" w:cs="仿宋_GB2312"/>
          <w:color w:val="auto"/>
          <w:kern w:val="2"/>
          <w:sz w:val="32"/>
          <w:szCs w:val="32"/>
          <w:lang w:val="en-US" w:eastAsia="zh-CN" w:bidi="ar"/>
        </w:rPr>
        <w:t>住房保障支出</w:t>
      </w:r>
      <w:r>
        <w:rPr>
          <w:rFonts w:hint="default" w:ascii="仿宋_GB2312" w:eastAsia="仿宋_GB2312" w:cs="仿宋_GB2312"/>
          <w:color w:val="auto"/>
          <w:kern w:val="2"/>
          <w:sz w:val="32"/>
          <w:szCs w:val="32"/>
          <w:lang w:eastAsia="zh-CN" w:bidi="ar"/>
        </w:rPr>
        <w:t>44.7万元。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8" w:name="_Toc2889"/>
      <w:r>
        <w:rPr>
          <w:rFonts w:hint="default" w:ascii="黑体" w:hAnsi="黑体" w:eastAsia="黑体" w:cs="黑体"/>
          <w:sz w:val="32"/>
          <w:szCs w:val="32"/>
          <w:lang w:eastAsia="zh-CN"/>
        </w:rPr>
        <w:t>五、</w:t>
      </w:r>
      <w:r>
        <w:rPr>
          <w:rFonts w:hint="eastAsia" w:ascii="黑体" w:hAnsi="黑体" w:eastAsia="黑体" w:cs="黑体"/>
          <w:sz w:val="32"/>
          <w:szCs w:val="32"/>
          <w:lang w:val="en-US" w:eastAsia="zh-CN"/>
        </w:rPr>
        <w:t>一般公共预算当年拨款情况说明</w:t>
      </w:r>
      <w:bookmarkEnd w:id="8"/>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9" w:name="_Toc7973"/>
      <w:r>
        <w:rPr>
          <w:rFonts w:hint="eastAsia" w:ascii="楷体_GB2312" w:hAnsi="楷体_GB2312" w:eastAsia="楷体_GB2312" w:cs="楷体_GB2312"/>
          <w:sz w:val="32"/>
          <w:szCs w:val="32"/>
          <w:lang w:val="en-US" w:eastAsia="zh-CN"/>
        </w:rPr>
        <w:t>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2024年一般公共预算当年拨款643.13万元，比2023年预算数增加21.98万元，主要原因是单位年度考核奖纳入了2024年预算。</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10" w:name="_Toc6904"/>
      <w:r>
        <w:rPr>
          <w:rFonts w:hint="eastAsia" w:ascii="楷体_GB2312" w:hAnsi="楷体_GB2312" w:eastAsia="楷体_GB2312" w:cs="楷体_GB2312"/>
          <w:sz w:val="32"/>
          <w:szCs w:val="32"/>
          <w:lang w:val="en-US" w:eastAsia="zh-CN"/>
        </w:rPr>
        <w:t>一般公共预算当年拨款结构情况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社会保障和就业支出577.64万元，占89.82%；卫生健康支出17.15万元，占2.67%；农林水支出3.64万元，占0.57%；住房保障支出44.7万元，占6.95%。</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11" w:name="_Toc31228"/>
      <w:r>
        <w:rPr>
          <w:rFonts w:hint="eastAsia" w:ascii="楷体_GB2312" w:hAnsi="楷体_GB2312" w:eastAsia="楷体_GB2312" w:cs="楷体_GB2312"/>
          <w:sz w:val="32"/>
          <w:szCs w:val="32"/>
          <w:lang w:val="en-US" w:eastAsia="zh-CN"/>
        </w:rPr>
        <w:t>一般公共预算当年拨款具体使用情况</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eastAsia="仿宋_GB2312" w:cs="仿宋_GB2312"/>
          <w:color w:val="333333"/>
          <w:spacing w:val="0"/>
          <w:kern w:val="0"/>
          <w:sz w:val="32"/>
          <w:szCs w:val="32"/>
          <w:shd w:val="clear" w:color="auto" w:fill="FFFFFF"/>
          <w:lang w:val="en-US" w:eastAsia="zh-CN" w:bidi="ar"/>
        </w:rPr>
        <w:t>社会保障和就业</w:t>
      </w:r>
      <w:r>
        <w:rPr>
          <w:rFonts w:hint="eastAsia" w:ascii="仿宋_GB2312" w:hAnsi="仿宋_GB2312" w:eastAsia="仿宋_GB2312" w:cs="仿宋_GB2312"/>
          <w:sz w:val="32"/>
          <w:szCs w:val="32"/>
          <w:lang w:val="en-US" w:eastAsia="zh-CN"/>
        </w:rPr>
        <w:t>（类）</w:t>
      </w:r>
      <w:r>
        <w:rPr>
          <w:rFonts w:hint="eastAsia" w:ascii="仿宋_GB2312" w:eastAsia="仿宋_GB2312" w:cs="仿宋_GB2312"/>
          <w:color w:val="333333"/>
          <w:spacing w:val="0"/>
          <w:kern w:val="0"/>
          <w:sz w:val="32"/>
          <w:szCs w:val="32"/>
          <w:shd w:val="clear" w:color="auto" w:fill="FFFFFF"/>
          <w:lang w:val="en-US" w:eastAsia="zh-CN" w:bidi="ar"/>
        </w:rPr>
        <w:t>人力资源和社会保障管理事务（款）就业管理事务（项）</w:t>
      </w:r>
      <w:r>
        <w:rPr>
          <w:rFonts w:hint="eastAsia" w:ascii="仿宋_GB2312" w:hAnsi="仿宋_GB2312" w:eastAsia="仿宋_GB2312" w:cs="仿宋_GB2312"/>
          <w:sz w:val="32"/>
          <w:szCs w:val="32"/>
          <w:lang w:val="en-US" w:eastAsia="zh-CN"/>
        </w:rPr>
        <w:t>2024年预算数为523.76万元，主要用于：</w:t>
      </w:r>
      <w:r>
        <w:rPr>
          <w:rFonts w:hint="eastAsia" w:ascii="仿宋_GB2312" w:eastAsia="仿宋_GB2312" w:cs="仿宋_GB2312"/>
          <w:color w:val="333333"/>
          <w:spacing w:val="0"/>
          <w:kern w:val="0"/>
          <w:sz w:val="32"/>
          <w:szCs w:val="32"/>
          <w:shd w:val="clear" w:color="auto" w:fill="FFFFFF"/>
          <w:lang w:val="en-US" w:eastAsia="zh-CN" w:bidi="ar"/>
        </w:rPr>
        <w:t>本单位日常运转及开展就业业务工作的支出。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eastAsia="仿宋_GB2312" w:cs="仿宋_GB2312"/>
          <w:color w:val="333333"/>
          <w:spacing w:val="0"/>
          <w:kern w:val="0"/>
          <w:sz w:val="32"/>
          <w:szCs w:val="32"/>
          <w:shd w:val="clear" w:color="auto" w:fill="FFFFFF"/>
          <w:lang w:val="en-US" w:eastAsia="zh-CN" w:bidi="ar"/>
        </w:rPr>
        <w:t>社会保障和就业</w:t>
      </w:r>
      <w:r>
        <w:rPr>
          <w:rFonts w:hint="eastAsia" w:ascii="仿宋_GB2312" w:hAnsi="仿宋_GB2312" w:eastAsia="仿宋_GB2312" w:cs="仿宋_GB2312"/>
          <w:sz w:val="32"/>
          <w:szCs w:val="32"/>
          <w:lang w:val="en-US" w:eastAsia="zh-CN"/>
        </w:rPr>
        <w:t>（类）行政事业单位养老支出（款）行政单位离退休（项）2024年预算数为1.01万元，主要用于：本单位退休人员开展活动的支出。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社会保障和就业（类）</w:t>
      </w:r>
      <w:r>
        <w:rPr>
          <w:rFonts w:hint="eastAsia" w:ascii="仿宋_GB2312" w:eastAsia="仿宋_GB2312" w:cs="仿宋_GB2312"/>
          <w:color w:val="333333"/>
          <w:spacing w:val="0"/>
          <w:kern w:val="0"/>
          <w:sz w:val="32"/>
          <w:szCs w:val="32"/>
          <w:shd w:val="clear" w:color="auto" w:fill="FFFFFF"/>
          <w:lang w:val="en-US" w:eastAsia="zh-CN" w:bidi="ar"/>
        </w:rPr>
        <w:t>行政事业单位养老支出</w:t>
      </w:r>
      <w:r>
        <w:rPr>
          <w:rFonts w:hint="eastAsia" w:ascii="仿宋_GB2312" w:hAnsi="仿宋_GB2312" w:eastAsia="仿宋_GB2312" w:cs="仿宋_GB2312"/>
          <w:sz w:val="32"/>
          <w:szCs w:val="32"/>
          <w:lang w:val="en-US" w:eastAsia="zh-CN"/>
        </w:rPr>
        <w:t>（款）</w:t>
      </w:r>
      <w:r>
        <w:rPr>
          <w:rFonts w:hint="eastAsia" w:ascii="仿宋_GB2312" w:eastAsia="仿宋_GB2312" w:cs="仿宋_GB2312"/>
          <w:color w:val="333333"/>
          <w:spacing w:val="0"/>
          <w:kern w:val="0"/>
          <w:sz w:val="32"/>
          <w:szCs w:val="32"/>
          <w:shd w:val="clear" w:color="auto" w:fill="FFFFFF"/>
          <w:lang w:val="en-US" w:eastAsia="zh-CN" w:bidi="ar"/>
        </w:rPr>
        <w:t>机关事业单位基本养老保险缴费支出</w:t>
      </w:r>
      <w:r>
        <w:rPr>
          <w:rFonts w:hint="eastAsia" w:ascii="仿宋_GB2312" w:hAnsi="仿宋_GB2312" w:eastAsia="仿宋_GB2312" w:cs="仿宋_GB2312"/>
          <w:sz w:val="32"/>
          <w:szCs w:val="32"/>
          <w:lang w:val="en-US" w:eastAsia="zh-CN"/>
        </w:rPr>
        <w:t>（项）2024年预算数为52.87万元，主要用于：实施养老保险制度由单位缴纳的基本养老保险支出。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4.卫生健康（类）行政事业单位医疗（款）行政单位医疗（项）2024年预算数为17.15万元，主要用于：机关及参公管理事业单位按规定由单位缴纳的基本医疗保险支出。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cs="仿宋_GB2312"/>
          <w:color w:val="333333"/>
          <w:spacing w:val="0"/>
          <w:kern w:val="0"/>
          <w:sz w:val="32"/>
          <w:szCs w:val="32"/>
          <w:shd w:val="clear" w:color="auto" w:fill="FFFFFF"/>
          <w:lang w:val="en-US" w:eastAsia="zh-CN" w:bidi="ar"/>
        </w:rPr>
        <w:t>农林水（类）巩固脱贫衔接乡村振兴（款）其他巩固脱贫攻坚成果衔接乡村振兴支出（项）2024年预算数为3.64万元，主要用于：巩固拓展脱贫共建成果同乡村振兴有效衔接驻村工作经费。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6.住房保障（类）住房改革支出（款）住房公积金（项）2024年预算数为44.7万元，主要用于：部门按规定为职工缴纳的住房公积金支出。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12" w:name="_Toc15208"/>
      <w:r>
        <w:rPr>
          <w:rFonts w:hint="default" w:ascii="黑体" w:hAnsi="黑体" w:eastAsia="黑体" w:cs="黑体"/>
          <w:sz w:val="32"/>
          <w:szCs w:val="32"/>
          <w:lang w:eastAsia="zh-CN"/>
        </w:rPr>
        <w:t>六、</w:t>
      </w:r>
      <w:r>
        <w:rPr>
          <w:rFonts w:hint="eastAsia" w:ascii="黑体" w:hAnsi="黑体" w:eastAsia="黑体" w:cs="黑体"/>
          <w:sz w:val="32"/>
          <w:szCs w:val="32"/>
          <w:lang w:val="en-US" w:eastAsia="zh-CN"/>
        </w:rPr>
        <w:t>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2024年一般公共预算基本支出613.82万元，其中：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人员经费540.68万元，主要包括：基本工资、津贴补贴、奖金、社会保险缴费、住房公积金、</w:t>
      </w:r>
      <w:r>
        <w:rPr>
          <w:rFonts w:hint="default" w:ascii="仿宋_GB2312" w:hAnsi="仿宋_GB2312" w:eastAsia="仿宋_GB2312" w:cs="仿宋_GB2312"/>
          <w:sz w:val="32"/>
          <w:szCs w:val="32"/>
          <w:lang w:eastAsia="zh-CN"/>
        </w:rPr>
        <w:t>生活</w:t>
      </w:r>
      <w:r>
        <w:rPr>
          <w:rFonts w:hint="eastAsia" w:ascii="仿宋_GB2312" w:hAnsi="仿宋_GB2312" w:eastAsia="仿宋_GB2312" w:cs="仿宋_GB2312"/>
          <w:sz w:val="32"/>
          <w:szCs w:val="32"/>
          <w:lang w:val="en-US" w:eastAsia="zh-CN"/>
        </w:rPr>
        <w:t>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公用经费73.14万元，主要包括：办公费、差旅费、维修（护）费、公务接待费、劳务费、工会经费、福利费、其他交通费用、</w:t>
      </w:r>
      <w:r>
        <w:rPr>
          <w:rFonts w:hint="eastAsia" w:ascii="仿宋_GB2312" w:eastAsia="仿宋_GB2312" w:cs="仿宋_GB2312"/>
          <w:color w:val="333333"/>
          <w:spacing w:val="0"/>
          <w:kern w:val="0"/>
          <w:sz w:val="32"/>
          <w:szCs w:val="32"/>
          <w:shd w:val="clear" w:color="auto" w:fill="FFFFFF"/>
          <w:lang w:val="en-US" w:eastAsia="zh-CN" w:bidi="ar"/>
        </w:rPr>
        <w:t>其他商品服务支出等</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13" w:name="_Toc6633"/>
      <w:r>
        <w:rPr>
          <w:rFonts w:hint="default" w:ascii="黑体" w:hAnsi="黑体" w:eastAsia="黑体" w:cs="黑体"/>
          <w:sz w:val="32"/>
          <w:szCs w:val="32"/>
          <w:lang w:eastAsia="zh-CN"/>
        </w:rPr>
        <w:t>七、</w:t>
      </w:r>
      <w:r>
        <w:rPr>
          <w:rFonts w:hint="eastAsia" w:ascii="黑体" w:hAnsi="黑体" w:eastAsia="黑体" w:cs="黑体"/>
          <w:sz w:val="32"/>
          <w:szCs w:val="32"/>
          <w:lang w:val="en-US" w:eastAsia="zh-CN"/>
        </w:rPr>
        <w:t>“三公”经费财政拨款预算安排情况说明</w:t>
      </w:r>
      <w:bookmarkEnd w:id="13"/>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2024年“三公”经费财政拨款预算数1.45万元，其中：公务接待费1.45万元、公务用车购置及运行维护费0万元、因公出国（境）经费0万元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14" w:name="_Toc7054"/>
      <w:r>
        <w:rPr>
          <w:rFonts w:hint="eastAsia" w:ascii="楷体_GB2312" w:hAnsi="楷体_GB2312" w:eastAsia="楷体_GB2312" w:cs="楷体_GB2312"/>
          <w:sz w:val="32"/>
          <w:szCs w:val="32"/>
          <w:lang w:val="en-US" w:eastAsia="zh-CN"/>
        </w:rPr>
        <w:t>公务接待费</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15" w:name="_Toc28374"/>
      <w:r>
        <w:rPr>
          <w:rFonts w:hint="eastAsia" w:ascii="楷体_GB2312" w:hAnsi="楷体_GB2312" w:eastAsia="楷体_GB2312" w:cs="楷体_GB2312"/>
          <w:sz w:val="32"/>
          <w:szCs w:val="32"/>
          <w:lang w:val="en-US" w:eastAsia="zh-CN"/>
        </w:rPr>
        <w:t>公务用车购置及运行维护费</w:t>
      </w:r>
      <w:bookmarkEnd w:id="1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right="0" w:firstLine="640" w:firstLineChars="200"/>
        <w:jc w:val="both"/>
        <w:textAlignment w:val="auto"/>
        <w:outlineLvl w:val="9"/>
        <w:rPr>
          <w:rFonts w:hint="eastAsia" w:ascii="仿宋_GB2312" w:eastAsia="仿宋_GB2312" w:cs="仿宋_GB2312"/>
          <w:color w:val="333333"/>
          <w:spacing w:val="0"/>
          <w:kern w:val="0"/>
          <w:sz w:val="32"/>
          <w:szCs w:val="32"/>
          <w:shd w:val="clear" w:color="auto" w:fill="FFFFFF"/>
          <w:lang w:val="en-US" w:eastAsia="zh-CN" w:bidi="ar"/>
        </w:rPr>
      </w:pPr>
      <w:r>
        <w:rPr>
          <w:rFonts w:hint="eastAsia" w:ascii="仿宋_GB2312" w:eastAsia="仿宋_GB2312" w:cs="仿宋_GB2312"/>
          <w:color w:val="333333"/>
          <w:spacing w:val="0"/>
          <w:kern w:val="0"/>
          <w:sz w:val="32"/>
          <w:szCs w:val="32"/>
          <w:shd w:val="clear" w:color="auto" w:fill="FFFFFF"/>
          <w:lang w:val="en-US" w:eastAsia="zh-Hans" w:bidi="ar"/>
        </w:rPr>
        <w:t>广元市就业创业促进中心单位账面反映共有公务用车1辆，实际该车在报废待办程序中，已无公务用车。</w:t>
      </w:r>
      <w:r>
        <w:rPr>
          <w:rFonts w:hint="eastAsia" w:ascii="仿宋_GB2312" w:eastAsia="仿宋_GB2312" w:cs="仿宋_GB2312"/>
          <w:color w:val="333333"/>
          <w:spacing w:val="0"/>
          <w:kern w:val="0"/>
          <w:sz w:val="32"/>
          <w:szCs w:val="32"/>
          <w:shd w:val="clear" w:color="auto" w:fill="FFFFFF"/>
          <w:lang w:val="en-US" w:eastAsia="zh-CN" w:bidi="ar"/>
        </w:rPr>
        <w:t>2024年安排公务用车购置及运行维护费0万元。与2023年相比无变化。</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420" w:firstLineChars="0"/>
        <w:textAlignment w:val="auto"/>
        <w:outlineLvl w:val="0"/>
        <w:rPr>
          <w:rFonts w:hint="default" w:ascii="楷体_GB2312" w:hAnsi="楷体_GB2312" w:eastAsia="楷体_GB2312" w:cs="楷体_GB2312"/>
          <w:sz w:val="32"/>
          <w:szCs w:val="32"/>
          <w:lang w:val="en-US" w:eastAsia="zh-CN"/>
        </w:rPr>
      </w:pPr>
      <w:bookmarkStart w:id="16" w:name="_Toc7496"/>
      <w:r>
        <w:rPr>
          <w:rFonts w:hint="eastAsia" w:ascii="楷体_GB2312" w:hAnsi="楷体_GB2312" w:eastAsia="楷体_GB2312" w:cs="楷体_GB2312"/>
          <w:sz w:val="32"/>
          <w:szCs w:val="32"/>
          <w:lang w:val="en-US" w:eastAsia="zh-CN"/>
        </w:rPr>
        <w:t>因公出国（境）经费</w:t>
      </w:r>
      <w:bookmarkEnd w:id="1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right="0" w:firstLine="640" w:firstLineChars="200"/>
        <w:jc w:val="both"/>
        <w:textAlignment w:val="auto"/>
        <w:outlineLvl w:val="9"/>
        <w:rPr>
          <w:rFonts w:hint="eastAsia" w:ascii="仿宋_GB2312" w:eastAsia="仿宋_GB2312" w:cs="仿宋_GB2312"/>
          <w:color w:val="333333"/>
          <w:spacing w:val="0"/>
          <w:kern w:val="0"/>
          <w:sz w:val="32"/>
          <w:szCs w:val="32"/>
          <w:shd w:val="clear" w:color="auto" w:fill="FFFFFF"/>
          <w:lang w:val="en-US" w:eastAsia="zh-CN" w:bidi="ar"/>
        </w:rPr>
      </w:pPr>
      <w:r>
        <w:rPr>
          <w:rFonts w:hint="eastAsia" w:ascii="仿宋_GB2312" w:eastAsia="仿宋_GB2312" w:cs="仿宋_GB2312"/>
          <w:color w:val="333333"/>
          <w:spacing w:val="0"/>
          <w:kern w:val="0"/>
          <w:sz w:val="32"/>
          <w:szCs w:val="32"/>
          <w:shd w:val="clear" w:color="auto" w:fill="FFFFFF"/>
          <w:lang w:val="en-US" w:eastAsia="zh-CN" w:bidi="ar"/>
        </w:rPr>
        <w:t>2024年安排因公出国（境）经费0万元。与2023年相比无变化。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17" w:name="_Toc17987"/>
      <w:r>
        <w:rPr>
          <w:rFonts w:hint="default" w:ascii="黑体" w:hAnsi="黑体" w:eastAsia="黑体" w:cs="黑体"/>
          <w:sz w:val="32"/>
          <w:szCs w:val="32"/>
          <w:lang w:eastAsia="zh-CN"/>
        </w:rPr>
        <w:t>八、</w:t>
      </w:r>
      <w:r>
        <w:rPr>
          <w:rFonts w:hint="eastAsia" w:ascii="黑体" w:hAnsi="黑体" w:eastAsia="黑体" w:cs="黑体"/>
          <w:sz w:val="32"/>
          <w:szCs w:val="32"/>
          <w:lang w:val="en-US" w:eastAsia="zh-CN"/>
        </w:rPr>
        <w:t>政府性基金预算支出情况说明</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2024年无政府性基金预算拨款安排的支出。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lang w:val="en-US" w:eastAsia="zh-CN"/>
        </w:rPr>
      </w:pPr>
      <w:bookmarkStart w:id="18" w:name="_Toc26313"/>
      <w:r>
        <w:rPr>
          <w:rFonts w:hint="default" w:ascii="黑体" w:hAnsi="黑体" w:eastAsia="黑体" w:cs="黑体"/>
          <w:sz w:val="32"/>
          <w:szCs w:val="32"/>
          <w:lang w:eastAsia="zh-CN"/>
        </w:rPr>
        <w:t>九、</w:t>
      </w:r>
      <w:r>
        <w:rPr>
          <w:rFonts w:hint="eastAsia" w:ascii="黑体" w:hAnsi="黑体" w:eastAsia="黑体" w:cs="黑体"/>
          <w:sz w:val="32"/>
          <w:szCs w:val="32"/>
          <w:lang w:val="en-US" w:eastAsia="zh-CN"/>
        </w:rPr>
        <w:t>国有资本经营预算支出情况说明</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2024年无国有资本经营预算拨款安排的支出。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rPr>
      </w:pPr>
      <w:bookmarkStart w:id="19" w:name="_Toc18822"/>
      <w:r>
        <w:rPr>
          <w:rFonts w:hint="default" w:ascii="黑体" w:hAnsi="黑体" w:eastAsia="黑体" w:cs="黑体"/>
          <w:sz w:val="32"/>
          <w:szCs w:val="32"/>
          <w:lang w:eastAsia="zh-CN"/>
        </w:rPr>
        <w:t>十、</w:t>
      </w:r>
      <w:r>
        <w:rPr>
          <w:rFonts w:hint="eastAsia" w:ascii="黑体" w:hAnsi="黑体" w:eastAsia="黑体" w:cs="黑体"/>
          <w:sz w:val="32"/>
          <w:szCs w:val="32"/>
          <w:lang w:val="en-US" w:eastAsia="zh-CN"/>
        </w:rPr>
        <w:t>其他重要事项的情况说明</w:t>
      </w:r>
      <w:bookmarkEnd w:id="19"/>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20" w:name="_Toc20565"/>
      <w:r>
        <w:rPr>
          <w:rFonts w:hint="eastAsia" w:ascii="楷体_GB2312" w:hAnsi="楷体_GB2312" w:eastAsia="楷体_GB2312" w:cs="楷体_GB2312"/>
          <w:sz w:val="32"/>
          <w:szCs w:val="32"/>
          <w:lang w:val="en-US" w:eastAsia="zh-CN"/>
        </w:rPr>
        <w:t>机关运行经费</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2024年，我中心机关运行经费财政拨款预算为73.14万元，比2023年预算减少0.18万元，下降0.25%。主要原因:人员构成变化导致其他公用经费减少。</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21" w:name="_Toc31494"/>
      <w:r>
        <w:rPr>
          <w:rFonts w:hint="eastAsia" w:ascii="楷体_GB2312" w:hAnsi="楷体_GB2312" w:eastAsia="楷体_GB2312" w:cs="楷体_GB2312"/>
          <w:sz w:val="32"/>
          <w:szCs w:val="32"/>
          <w:lang w:val="en-US" w:eastAsia="zh-CN"/>
        </w:rPr>
        <w:t>政府采购情况</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2024年，我中心安排政府采购预算0万元。</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22" w:name="_Toc6403"/>
      <w:r>
        <w:rPr>
          <w:rFonts w:hint="eastAsia" w:ascii="楷体_GB2312" w:hAnsi="楷体_GB2312" w:eastAsia="楷体_GB2312" w:cs="楷体_GB2312"/>
          <w:sz w:val="32"/>
          <w:szCs w:val="32"/>
          <w:lang w:val="en-US" w:eastAsia="zh-CN"/>
        </w:rPr>
        <w:t>国有资产占有使用情况</w:t>
      </w:r>
      <w:bookmarkEnd w:id="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left="0" w:right="0" w:firstLine="640" w:firstLineChars="200"/>
        <w:jc w:val="both"/>
        <w:textAlignment w:val="auto"/>
        <w:outlineLvl w:val="9"/>
        <w:rPr>
          <w:rFonts w:hint="default" w:ascii="仿宋_GB2312" w:eastAsia="仿宋_GB2312" w:cs="仿宋_GB2312"/>
          <w:color w:val="auto"/>
          <w:kern w:val="2"/>
          <w:sz w:val="32"/>
          <w:szCs w:val="32"/>
          <w:lang w:eastAsia="zh-CN" w:bidi="ar"/>
        </w:rPr>
      </w:pPr>
      <w:r>
        <w:rPr>
          <w:rFonts w:hint="eastAsia" w:ascii="仿宋_GB2312" w:hAnsi="仿宋_GB2312" w:eastAsia="仿宋_GB2312" w:cs="仿宋_GB2312"/>
          <w:sz w:val="32"/>
          <w:szCs w:val="32"/>
          <w:lang w:val="en-US" w:eastAsia="zh-CN"/>
        </w:rPr>
        <w:t>截至2023年底，</w:t>
      </w:r>
      <w:r>
        <w:rPr>
          <w:rFonts w:hint="eastAsia" w:ascii="仿宋_GB2312" w:eastAsia="仿宋_GB2312" w:cs="仿宋_GB2312"/>
          <w:color w:val="333333"/>
          <w:spacing w:val="-4"/>
          <w:kern w:val="0"/>
          <w:sz w:val="32"/>
          <w:szCs w:val="32"/>
          <w:shd w:val="clear" w:color="auto" w:fill="FFFFFF"/>
          <w:lang w:val="en-US" w:eastAsia="zh-Hans" w:bidi="ar"/>
        </w:rPr>
        <w:t>广元市就业创业促进中心单位账面反映共有公务用车1辆，实际该车在报废待办程序中，已无公务用车</w:t>
      </w:r>
      <w:r>
        <w:rPr>
          <w:rFonts w:hint="eastAsia" w:ascii="仿宋_GB2312" w:eastAsia="仿宋_GB2312" w:cs="仿宋_GB2312"/>
          <w:color w:val="333333"/>
          <w:spacing w:val="0"/>
          <w:kern w:val="0"/>
          <w:sz w:val="32"/>
          <w:szCs w:val="32"/>
          <w:shd w:val="clear" w:color="auto" w:fill="FFFFFF"/>
          <w:lang w:val="en-US" w:eastAsia="zh-Hans" w:bidi="ar"/>
        </w:rPr>
        <w:t>。</w:t>
      </w:r>
      <w:r>
        <w:rPr>
          <w:rFonts w:hint="default" w:ascii="仿宋_GB2312" w:hAnsi="Calibri" w:eastAsia="仿宋_GB2312" w:cs="仿宋_GB2312"/>
          <w:color w:val="auto"/>
          <w:kern w:val="2"/>
          <w:sz w:val="32"/>
          <w:szCs w:val="32"/>
          <w:lang w:val="en-US" w:eastAsia="zh-CN" w:bidi="ar"/>
        </w:rPr>
        <w:t>单位无价值200万元以上大型设备</w:t>
      </w:r>
      <w:r>
        <w:rPr>
          <w:rFonts w:hint="default" w:ascii="仿宋_GB2312" w:eastAsia="仿宋_GB2312" w:cs="仿宋_GB2312"/>
          <w:color w:val="auto"/>
          <w:kern w:val="2"/>
          <w:sz w:val="32"/>
          <w:szCs w:val="32"/>
          <w:lang w:eastAsia="zh-CN" w:bidi="ar"/>
        </w:rPr>
        <w:t>。</w:t>
      </w:r>
      <w:bookmarkStart w:id="30" w:name="_GoBack"/>
      <w:bookmarkEnd w:id="30"/>
    </w:p>
    <w:p>
      <w:pPr>
        <w:keepNext w:val="0"/>
        <w:keepLines w:val="0"/>
        <w:widowControl w:val="0"/>
        <w:suppressLineNumbers w:val="0"/>
        <w:suppressAutoHyphens/>
        <w:spacing w:before="0" w:beforeAutospacing="0" w:after="0" w:afterAutospacing="0"/>
        <w:ind w:left="0" w:right="0" w:firstLine="640" w:firstLineChars="200"/>
        <w:jc w:val="both"/>
        <w:rPr>
          <w:rFonts w:hint="default"/>
          <w:lang w:eastAsia="zh-CN"/>
        </w:rPr>
      </w:pPr>
      <w:r>
        <w:rPr>
          <w:rFonts w:hint="default" w:ascii="仿宋_GB2312" w:hAnsi="Calibri" w:eastAsia="仿宋_GB2312" w:cs="仿宋_GB2312"/>
          <w:color w:val="auto"/>
          <w:kern w:val="2"/>
          <w:sz w:val="32"/>
          <w:szCs w:val="32"/>
          <w:lang w:val="en-US" w:eastAsia="zh-CN" w:bidi="ar"/>
        </w:rPr>
        <w:t>2024年</w:t>
      </w:r>
      <w:r>
        <w:rPr>
          <w:rFonts w:hint="default" w:ascii="仿宋_GB2312" w:eastAsia="仿宋_GB2312" w:cs="仿宋_GB2312"/>
          <w:color w:val="auto"/>
          <w:kern w:val="2"/>
          <w:sz w:val="32"/>
          <w:szCs w:val="32"/>
          <w:lang w:eastAsia="zh-CN" w:bidi="ar"/>
        </w:rPr>
        <w:t>单位</w:t>
      </w:r>
      <w:r>
        <w:rPr>
          <w:rFonts w:hint="default" w:ascii="仿宋_GB2312" w:hAnsi="Calibri" w:eastAsia="仿宋_GB2312" w:cs="仿宋_GB2312"/>
          <w:color w:val="auto"/>
          <w:kern w:val="2"/>
          <w:sz w:val="32"/>
          <w:szCs w:val="32"/>
          <w:lang w:val="en-US" w:eastAsia="zh-CN" w:bidi="ar"/>
        </w:rPr>
        <w:t>预算未安排购置车辆及单位价值200万元以上大型设备</w:t>
      </w:r>
      <w:r>
        <w:rPr>
          <w:rFonts w:hint="default" w:ascii="仿宋_GB2312" w:eastAsia="仿宋_GB2312" w:cs="仿宋_GB2312"/>
          <w:color w:val="auto"/>
          <w:kern w:val="2"/>
          <w:sz w:val="32"/>
          <w:szCs w:val="32"/>
          <w:lang w:eastAsia="zh-CN" w:bidi="ar"/>
        </w:rPr>
        <w:t>。</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420" w:firstLineChars="0"/>
        <w:textAlignment w:val="auto"/>
        <w:outlineLvl w:val="0"/>
        <w:rPr>
          <w:rFonts w:hint="eastAsia" w:ascii="楷体_GB2312" w:hAnsi="楷体_GB2312" w:eastAsia="楷体_GB2312" w:cs="楷体_GB2312"/>
          <w:sz w:val="32"/>
          <w:szCs w:val="32"/>
          <w:lang w:val="en-US" w:eastAsia="zh-CN"/>
        </w:rPr>
      </w:pPr>
      <w:bookmarkStart w:id="23" w:name="_Toc4750"/>
      <w:r>
        <w:rPr>
          <w:rFonts w:hint="eastAsia" w:ascii="楷体_GB2312" w:hAnsi="楷体_GB2312" w:eastAsia="楷体_GB2312" w:cs="楷体_GB2312"/>
          <w:sz w:val="32"/>
          <w:szCs w:val="32"/>
          <w:lang w:val="en-US" w:eastAsia="zh-CN"/>
        </w:rPr>
        <w:t>绩效目标设置情况</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2024年我中心开展绩效目标管理的项目13个，涉及预算643.13万元。其中：人员类项目7个，涉及预算540.68万元；运转类项目3个，涉及预算73.14万元；特定目标类项目3个，涉及预算29.31万元。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20" w:leftChars="0"/>
        <w:textAlignment w:val="auto"/>
        <w:outlineLvl w:val="1"/>
        <w:rPr>
          <w:rFonts w:hint="eastAsia" w:ascii="黑体" w:hAnsi="黑体" w:eastAsia="黑体" w:cs="黑体"/>
          <w:sz w:val="32"/>
          <w:szCs w:val="32"/>
        </w:rPr>
      </w:pPr>
      <w:bookmarkStart w:id="24" w:name="_Toc25177"/>
      <w:r>
        <w:rPr>
          <w:rFonts w:hint="default" w:ascii="黑体" w:hAnsi="黑体" w:eastAsia="黑体" w:cs="黑体"/>
          <w:sz w:val="32"/>
          <w:szCs w:val="32"/>
          <w:lang w:eastAsia="zh-CN"/>
        </w:rPr>
        <w:t>十一、</w:t>
      </w:r>
      <w:r>
        <w:rPr>
          <w:rFonts w:hint="eastAsia" w:ascii="黑体" w:hAnsi="黑体" w:eastAsia="黑体" w:cs="黑体"/>
          <w:sz w:val="32"/>
          <w:szCs w:val="32"/>
          <w:lang w:val="en-US" w:eastAsia="zh-CN"/>
        </w:rPr>
        <w:t>名词解释</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bookmarkStart w:id="25" w:name="_Toc1704"/>
      <w:r>
        <w:rPr>
          <w:rFonts w:hint="eastAsia" w:ascii="楷体_GB2312" w:eastAsia="楷体_GB2312" w:cs="楷体_GB2312"/>
          <w:color w:val="333333"/>
          <w:spacing w:val="0"/>
          <w:kern w:val="0"/>
          <w:sz w:val="32"/>
          <w:szCs w:val="32"/>
          <w:shd w:val="clear" w:color="auto" w:fill="FFFFFF"/>
          <w:lang w:val="en-US" w:eastAsia="zh-CN" w:bidi="ar"/>
        </w:rPr>
        <w:t>社会保障和就业（类） 人力资源和社会保障管理事务（款）就业管理事务（项）</w:t>
      </w:r>
      <w:r>
        <w:rPr>
          <w:rFonts w:hint="eastAsia" w:ascii="仿宋_GB2312" w:eastAsia="仿宋_GB2312" w:cs="仿宋_GB2312"/>
          <w:color w:val="333333"/>
          <w:spacing w:val="0"/>
          <w:kern w:val="0"/>
          <w:sz w:val="32"/>
          <w:szCs w:val="32"/>
          <w:shd w:val="clear" w:color="auto" w:fill="FFFFFF"/>
          <w:lang w:val="en-US" w:eastAsia="zh-CN" w:bidi="ar"/>
        </w:rPr>
        <w:t>：</w:t>
      </w:r>
      <w:r>
        <w:rPr>
          <w:rFonts w:hint="eastAsia" w:ascii="仿宋_GB2312" w:hAnsi="仿宋_GB2312" w:eastAsia="仿宋_GB2312" w:cs="仿宋_GB2312"/>
          <w:sz w:val="32"/>
          <w:szCs w:val="32"/>
          <w:lang w:val="en-US" w:eastAsia="zh-CN"/>
        </w:rPr>
        <w:t>指开展就业业务工作的支出。</w:t>
      </w:r>
      <w:bookmarkEnd w:id="25"/>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eastAsia="仿宋_GB2312" w:cs="仿宋_GB2312"/>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（三）</w:t>
      </w:r>
      <w:bookmarkStart w:id="26" w:name="_Toc31392"/>
      <w:r>
        <w:rPr>
          <w:rFonts w:hint="eastAsia" w:ascii="楷体_GB2312" w:eastAsia="楷体_GB2312" w:cs="楷体_GB2312"/>
          <w:color w:val="333333"/>
          <w:spacing w:val="0"/>
          <w:kern w:val="0"/>
          <w:sz w:val="32"/>
          <w:szCs w:val="32"/>
          <w:shd w:val="clear" w:color="auto" w:fill="FFFFFF"/>
          <w:lang w:val="en-US" w:eastAsia="zh-CN" w:bidi="ar"/>
        </w:rPr>
        <w:t>社会保障和就业（类）行政事业单位养老支出（款）行政单位离退休（项）</w:t>
      </w:r>
      <w:r>
        <w:rPr>
          <w:rFonts w:hint="eastAsia" w:ascii="仿宋_GB2312" w:eastAsia="仿宋_GB2312" w:cs="仿宋_GB2312"/>
          <w:color w:val="333333"/>
          <w:spacing w:val="0"/>
          <w:kern w:val="0"/>
          <w:sz w:val="32"/>
          <w:szCs w:val="32"/>
          <w:shd w:val="clear" w:color="auto" w:fill="FFFFFF"/>
          <w:lang w:val="en-US" w:eastAsia="zh-CN" w:bidi="ar"/>
        </w:rPr>
        <w:t>：指机关及参公管理事业单位离退休人员经费支出。</w:t>
      </w:r>
      <w:bookmarkEnd w:id="26"/>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eastAsia="仿宋_GB2312" w:cs="仿宋_GB2312"/>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（四）</w:t>
      </w:r>
      <w:bookmarkStart w:id="27" w:name="_Toc11323"/>
      <w:r>
        <w:rPr>
          <w:rFonts w:hint="eastAsia" w:ascii="楷体_GB2312" w:eastAsia="楷体_GB2312" w:cs="楷体_GB2312"/>
          <w:color w:val="333333"/>
          <w:spacing w:val="0"/>
          <w:kern w:val="0"/>
          <w:sz w:val="32"/>
          <w:szCs w:val="32"/>
          <w:shd w:val="clear" w:color="auto" w:fill="FFFFFF"/>
          <w:lang w:val="en-US" w:eastAsia="zh-CN" w:bidi="ar"/>
        </w:rPr>
        <w:t>社会保障和就业（类）行政事业单位养老支出（款）机关事业单位基本养老保险缴费支出（项）</w:t>
      </w:r>
      <w:r>
        <w:rPr>
          <w:rFonts w:hint="eastAsia" w:ascii="仿宋_GB2312" w:eastAsia="仿宋_GB2312" w:cs="仿宋_GB2312"/>
          <w:color w:val="333333"/>
          <w:spacing w:val="0"/>
          <w:kern w:val="0"/>
          <w:sz w:val="32"/>
          <w:szCs w:val="32"/>
          <w:shd w:val="clear" w:color="auto" w:fill="FFFFFF"/>
          <w:lang w:val="en-US" w:eastAsia="zh-CN" w:bidi="ar"/>
        </w:rPr>
        <w:t>：指实施养老保险制度由单位缴纳的基本养老保险支出。</w:t>
      </w:r>
      <w:bookmarkEnd w:id="27"/>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eastAsia="仿宋_GB2312" w:cs="仿宋_GB2312"/>
          <w:color w:val="333333"/>
          <w:spacing w:val="0"/>
          <w:kern w:val="0"/>
          <w:sz w:val="32"/>
          <w:szCs w:val="32"/>
          <w:highlight w:val="none"/>
          <w:shd w:val="clear" w:color="auto" w:fill="FFFFFF"/>
          <w:lang w:val="en-US" w:eastAsia="zh-CN" w:bidi="ar"/>
        </w:rPr>
      </w:pPr>
      <w:r>
        <w:rPr>
          <w:rFonts w:hint="eastAsia" w:ascii="楷体_GB2312" w:hAnsi="楷体_GB2312" w:eastAsia="楷体_GB2312" w:cs="楷体_GB2312"/>
          <w:sz w:val="32"/>
          <w:szCs w:val="32"/>
          <w:lang w:val="en-US" w:eastAsia="zh-CN"/>
        </w:rPr>
        <w:t>（五）</w:t>
      </w:r>
      <w:bookmarkStart w:id="28" w:name="_Toc13717"/>
      <w:r>
        <w:rPr>
          <w:rFonts w:hint="eastAsia" w:ascii="楷体_GB2312" w:eastAsia="楷体_GB2312" w:cs="楷体_GB2312"/>
          <w:color w:val="333333"/>
          <w:spacing w:val="0"/>
          <w:kern w:val="0"/>
          <w:sz w:val="32"/>
          <w:szCs w:val="32"/>
          <w:shd w:val="clear" w:color="auto" w:fill="FFFFFF"/>
          <w:lang w:val="en-US" w:eastAsia="zh-CN" w:bidi="ar"/>
        </w:rPr>
        <w:t>卫生健康（类）行政事业单位医疗（款）行政单位医疗（项）</w:t>
      </w:r>
      <w:r>
        <w:rPr>
          <w:rFonts w:hint="eastAsia" w:ascii="仿宋_GB2312" w:eastAsia="仿宋_GB2312" w:cs="仿宋_GB2312"/>
          <w:color w:val="333333"/>
          <w:spacing w:val="0"/>
          <w:kern w:val="0"/>
          <w:sz w:val="32"/>
          <w:szCs w:val="32"/>
          <w:shd w:val="clear" w:color="auto" w:fill="FFFFFF"/>
          <w:lang w:val="en-US" w:eastAsia="zh-CN" w:bidi="ar"/>
        </w:rPr>
        <w:t>：</w:t>
      </w:r>
      <w:r>
        <w:rPr>
          <w:rFonts w:hint="eastAsia" w:ascii="仿宋_GB2312" w:eastAsia="仿宋_GB2312" w:cs="仿宋_GB2312"/>
          <w:color w:val="333333"/>
          <w:spacing w:val="0"/>
          <w:kern w:val="0"/>
          <w:sz w:val="32"/>
          <w:szCs w:val="32"/>
          <w:highlight w:val="none"/>
          <w:shd w:val="clear" w:color="auto" w:fill="FFFFFF"/>
          <w:lang w:val="en-US" w:eastAsia="zh-CN" w:bidi="ar"/>
        </w:rPr>
        <w:t>指机关及参公管理事业单位按规定由单位缴纳的基本医疗保险支出。</w:t>
      </w:r>
      <w:bookmarkEnd w:id="28"/>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suppressAutoHyphen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eastAsia="仿宋_GB2312" w:cs="仿宋_GB2312"/>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（六）</w:t>
      </w:r>
      <w:bookmarkStart w:id="29" w:name="_Toc11000"/>
      <w:r>
        <w:rPr>
          <w:rFonts w:hint="eastAsia" w:ascii="楷体_GB2312" w:eastAsia="楷体_GB2312" w:cs="楷体_GB2312"/>
          <w:color w:val="333333"/>
          <w:spacing w:val="0"/>
          <w:kern w:val="0"/>
          <w:sz w:val="32"/>
          <w:szCs w:val="32"/>
          <w:shd w:val="clear" w:color="auto" w:fill="FFFFFF"/>
          <w:lang w:val="en-US" w:eastAsia="zh-CN" w:bidi="ar"/>
        </w:rPr>
        <w:t>农林水（类）巩固脱贫衔接乡村振兴（款）其他巩固脱贫攻坚成果衔接乡村振兴支出（项）</w:t>
      </w:r>
      <w:r>
        <w:rPr>
          <w:rFonts w:hint="eastAsia" w:ascii="仿宋_GB2312" w:eastAsia="仿宋_GB2312" w:cs="仿宋_GB2312"/>
          <w:color w:val="333333"/>
          <w:spacing w:val="0"/>
          <w:kern w:val="0"/>
          <w:sz w:val="32"/>
          <w:szCs w:val="32"/>
          <w:shd w:val="clear" w:color="auto" w:fill="FFFFFF"/>
          <w:lang w:val="en-US" w:eastAsia="zh-CN" w:bidi="ar"/>
        </w:rPr>
        <w:t>：</w:t>
      </w:r>
      <w:bookmarkEnd w:id="29"/>
      <w:r>
        <w:rPr>
          <w:rFonts w:hint="eastAsia" w:ascii="仿宋_GB2312" w:eastAsia="仿宋_GB2312" w:cs="仿宋_GB2312"/>
          <w:color w:val="333333"/>
          <w:spacing w:val="0"/>
          <w:kern w:val="0"/>
          <w:sz w:val="32"/>
          <w:szCs w:val="32"/>
          <w:shd w:val="clear" w:color="auto" w:fill="FFFFFF"/>
          <w:lang w:val="en-US" w:eastAsia="zh-CN" w:bidi="ar"/>
        </w:rPr>
        <w:t>巩固拓展脱贫共建成果同乡村振兴有效衔接驻村工作经费。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（七）</w:t>
      </w:r>
      <w:r>
        <w:rPr>
          <w:rFonts w:hint="eastAsia" w:ascii="楷体_GB2312" w:eastAsia="楷体_GB2312" w:cs="楷体_GB2312"/>
          <w:color w:val="333333"/>
          <w:spacing w:val="0"/>
          <w:kern w:val="0"/>
          <w:sz w:val="32"/>
          <w:szCs w:val="32"/>
          <w:shd w:val="clear" w:color="auto" w:fill="FFFFFF"/>
          <w:lang w:val="en-US" w:eastAsia="zh-CN" w:bidi="ar"/>
        </w:rPr>
        <w:t>住房保障（类）住房改革支出（款）住房公积金（项）主要用于</w:t>
      </w:r>
      <w:r>
        <w:rPr>
          <w:rFonts w:hint="eastAsia" w:ascii="仿宋_GB2312" w:eastAsia="仿宋_GB2312" w:cs="仿宋_GB2312"/>
          <w:color w:val="333333"/>
          <w:spacing w:val="0"/>
          <w:kern w:val="0"/>
          <w:sz w:val="32"/>
          <w:szCs w:val="32"/>
          <w:shd w:val="clear" w:color="auto" w:fill="FFFFFF"/>
          <w:lang w:val="en-US" w:eastAsia="zh-CN" w:bidi="ar"/>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（十一）机关运行经费：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 xml:space="preserve">预算公开表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D5B1"/>
    <w:multiLevelType w:val="singleLevel"/>
    <w:tmpl w:val="85BFD5B1"/>
    <w:lvl w:ilvl="0" w:tentative="0">
      <w:start w:val="1"/>
      <w:numFmt w:val="chineseCounting"/>
      <w:suff w:val="nothing"/>
      <w:lvlText w:val="（%1）"/>
      <w:lvlJc w:val="left"/>
      <w:pPr>
        <w:ind w:left="0" w:firstLine="420"/>
      </w:pPr>
      <w:rPr>
        <w:rFonts w:hint="eastAsia"/>
      </w:rPr>
    </w:lvl>
  </w:abstractNum>
  <w:abstractNum w:abstractNumId="1">
    <w:nsid w:val="87402319"/>
    <w:multiLevelType w:val="multilevel"/>
    <w:tmpl w:val="87402319"/>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887E9CF7"/>
    <w:multiLevelType w:val="singleLevel"/>
    <w:tmpl w:val="887E9CF7"/>
    <w:lvl w:ilvl="0" w:tentative="0">
      <w:start w:val="1"/>
      <w:numFmt w:val="chineseCounting"/>
      <w:suff w:val="nothing"/>
      <w:lvlText w:val="（%1）"/>
      <w:lvlJc w:val="left"/>
      <w:pPr>
        <w:ind w:left="0" w:firstLine="420"/>
      </w:pPr>
      <w:rPr>
        <w:rFonts w:hint="eastAsia"/>
      </w:rPr>
    </w:lvl>
  </w:abstractNum>
  <w:abstractNum w:abstractNumId="3">
    <w:nsid w:val="A9B0472B"/>
    <w:multiLevelType w:val="multilevel"/>
    <w:tmpl w:val="A9B0472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C6E115F7"/>
    <w:multiLevelType w:val="singleLevel"/>
    <w:tmpl w:val="C6E115F7"/>
    <w:lvl w:ilvl="0" w:tentative="0">
      <w:start w:val="1"/>
      <w:numFmt w:val="chineseCounting"/>
      <w:suff w:val="nothing"/>
      <w:lvlText w:val="（%1）"/>
      <w:lvlJc w:val="left"/>
      <w:pPr>
        <w:ind w:left="0" w:firstLine="420"/>
      </w:pPr>
      <w:rPr>
        <w:rFonts w:hint="eastAsia"/>
      </w:rPr>
    </w:lvl>
  </w:abstractNum>
  <w:abstractNum w:abstractNumId="5">
    <w:nsid w:val="36DEB217"/>
    <w:multiLevelType w:val="singleLevel"/>
    <w:tmpl w:val="36DEB217"/>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WFmZGM1ODhjZGEwMDEwZTViNTRhNmVmMjJhOTgifQ=="/>
  </w:docVars>
  <w:rsids>
    <w:rsidRoot w:val="00000000"/>
    <w:rsid w:val="001C3BE0"/>
    <w:rsid w:val="012352D1"/>
    <w:rsid w:val="11845E93"/>
    <w:rsid w:val="1D8A04DD"/>
    <w:rsid w:val="1F7BF06F"/>
    <w:rsid w:val="1FEE4B73"/>
    <w:rsid w:val="23CE9849"/>
    <w:rsid w:val="248E60CC"/>
    <w:rsid w:val="260A1898"/>
    <w:rsid w:val="2823378F"/>
    <w:rsid w:val="34D65784"/>
    <w:rsid w:val="39F304DD"/>
    <w:rsid w:val="3E51492E"/>
    <w:rsid w:val="429B4CF1"/>
    <w:rsid w:val="48143D58"/>
    <w:rsid w:val="492D27BD"/>
    <w:rsid w:val="54244390"/>
    <w:rsid w:val="54662A63"/>
    <w:rsid w:val="58064E12"/>
    <w:rsid w:val="59984100"/>
    <w:rsid w:val="5BFEE015"/>
    <w:rsid w:val="63EDCF55"/>
    <w:rsid w:val="63FBFBCF"/>
    <w:rsid w:val="669360FD"/>
    <w:rsid w:val="68FF6A83"/>
    <w:rsid w:val="6B343EB3"/>
    <w:rsid w:val="6B385F1D"/>
    <w:rsid w:val="6FBBC9CF"/>
    <w:rsid w:val="6FBF5230"/>
    <w:rsid w:val="72BDE561"/>
    <w:rsid w:val="78462278"/>
    <w:rsid w:val="7997EA6C"/>
    <w:rsid w:val="7AEAE675"/>
    <w:rsid w:val="7BA32F15"/>
    <w:rsid w:val="7BAFCE5D"/>
    <w:rsid w:val="7C6D24C9"/>
    <w:rsid w:val="7D46598C"/>
    <w:rsid w:val="7DFB240B"/>
    <w:rsid w:val="7E0935ED"/>
    <w:rsid w:val="7F7F67EC"/>
    <w:rsid w:val="7FBFE7A9"/>
    <w:rsid w:val="7FCF2AF7"/>
    <w:rsid w:val="9FEF033D"/>
    <w:rsid w:val="A27FF1E5"/>
    <w:rsid w:val="AFDEB5A7"/>
    <w:rsid w:val="AFEA7FBF"/>
    <w:rsid w:val="B83F4767"/>
    <w:rsid w:val="BDFF4512"/>
    <w:rsid w:val="BF930F07"/>
    <w:rsid w:val="BFCE8436"/>
    <w:rsid w:val="C3F7EB7A"/>
    <w:rsid w:val="CEBFD8AD"/>
    <w:rsid w:val="CFF5FEEC"/>
    <w:rsid w:val="D3DD9064"/>
    <w:rsid w:val="D6F76A0C"/>
    <w:rsid w:val="D7ECE8D2"/>
    <w:rsid w:val="DFDD4FB5"/>
    <w:rsid w:val="E7F748B5"/>
    <w:rsid w:val="EE5F3713"/>
    <w:rsid w:val="EFC9D62C"/>
    <w:rsid w:val="EFEB1592"/>
    <w:rsid w:val="F6BE9755"/>
    <w:rsid w:val="F6FFA89B"/>
    <w:rsid w:val="FAE4EFE1"/>
    <w:rsid w:val="FB9B6F12"/>
    <w:rsid w:val="FBB66A4A"/>
    <w:rsid w:val="FDEE6989"/>
    <w:rsid w:val="FEF50072"/>
    <w:rsid w:val="FF5E7DB8"/>
    <w:rsid w:val="FF77E367"/>
    <w:rsid w:val="FFD576EB"/>
    <w:rsid w:val="FFFBE8B7"/>
    <w:rsid w:val="FFFEA6C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cs="宋体"/>
      <w:lang w:bidi="ar-SA"/>
    </w:rPr>
  </w:style>
  <w:style w:type="paragraph" w:styleId="12">
    <w:name w:val="caption"/>
    <w:basedOn w:val="1"/>
    <w:next w:val="1"/>
    <w:qFormat/>
    <w:uiPriority w:val="0"/>
    <w:pPr>
      <w:widowControl w:val="0"/>
      <w:suppressLineNumbers/>
      <w:suppressAutoHyphens/>
      <w:spacing w:before="120" w:after="120"/>
    </w:pPr>
    <w:rPr>
      <w:i/>
      <w:iCs/>
      <w:sz w:val="24"/>
      <w:szCs w:val="24"/>
    </w:rPr>
  </w:style>
  <w:style w:type="paragraph" w:styleId="13">
    <w:name w:val="Body Text"/>
    <w:basedOn w:val="1"/>
    <w:qFormat/>
    <w:uiPriority w:val="0"/>
    <w:pPr>
      <w:spacing w:before="0" w:after="140" w:line="276" w:lineRule="auto"/>
    </w:p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List"/>
    <w:basedOn w:val="13"/>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rPr>
      <w:sz w:val="24"/>
    </w:rPr>
  </w:style>
  <w:style w:type="character" w:customStyle="1" w:styleId="23">
    <w:name w:val="默认段落字体1"/>
    <w:qFormat/>
    <w:uiPriority w:val="0"/>
  </w:style>
  <w:style w:type="paragraph" w:customStyle="1" w:styleId="24">
    <w:name w:val="Heading"/>
    <w:basedOn w:val="1"/>
    <w:next w:val="1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5">
    <w:name w:val="Index"/>
    <w:basedOn w:val="1"/>
    <w:qFormat/>
    <w:uiPriority w:val="0"/>
    <w:pPr>
      <w:widowControl w:val="0"/>
      <w:suppressLineNumbers/>
      <w:suppressAutoHyphens/>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TotalTime>
  <ScaleCrop>false</ScaleCrop>
  <LinksUpToDate>false</LinksUpToDate>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 </cp:lastModifiedBy>
  <dcterms:modified xsi:type="dcterms:W3CDTF">2024-02-29T17:01:46Z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ies>
</file>