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bookmarkStart w:id="0" w:name="_Toc1102"/>
      <w:bookmarkStart w:id="35" w:name="_GoBack"/>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广元市人力资源和社会保障局</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bookmarkStart w:id="1" w:name="_Toc6054"/>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机关2024年部门预算</w:t>
      </w:r>
      <w:bookmarkEnd w:id="35"/>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编制说明</w:t>
      </w:r>
      <w:bookmarkEnd w:id="1"/>
    </w:p>
    <w:sdt>
      <w:sdtPr>
        <w:rPr>
          <w:rFonts w:ascii="宋体" w:hAnsi="宋体" w:eastAsia="宋体" w:cs="Times New Roman"/>
          <w:color w:val="auto"/>
          <w:kern w:val="2"/>
          <w:sz w:val="21"/>
          <w:szCs w:val="24"/>
          <w:lang w:val="en-US" w:eastAsia="zh-CN" w:bidi="ar-SA"/>
        </w:rPr>
        <w:id w:val="147452025"/>
        <w15:color w:val="DBDBDB"/>
        <w:docPartObj>
          <w:docPartGallery w:val="Table of Contents"/>
          <w:docPartUnique/>
        </w:docPartObj>
      </w:sdtPr>
      <w:sdtEndPr>
        <w:rPr>
          <w:rFonts w:hint="eastAsia" w:ascii="宋体" w:hAnsi="宋体" w:eastAsia="宋体" w:cs="宋体"/>
          <w:b/>
          <w:i w:val="0"/>
          <w:caps w:val="0"/>
          <w:color w:val="000000" w:themeColor="text1"/>
          <w:spacing w:val="0"/>
          <w:kern w:val="0"/>
          <w:sz w:val="24"/>
          <w:szCs w:val="28"/>
          <w:highlight w:val="none"/>
          <w:shd w:val="clear" w:color="auto" w:fill="FFFFFF"/>
          <w:lang w:val="en-US" w:eastAsia="zh-CN" w:bidi="ar"/>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6"/>
            <w:tabs>
              <w:tab w:val="right" w:leader="dot" w:pos="8845"/>
            </w:tabs>
            <w:rPr>
              <w:b/>
            </w:rPr>
          </w:pPr>
          <w:r>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instrText xml:space="preserve">TOC \o "1-2" \h \u </w:instrText>
          </w:r>
          <w:r>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fldChar w:fldCharType="separate"/>
          </w:r>
        </w:p>
        <w:p>
          <w:pPr>
            <w:pStyle w:val="16"/>
            <w:tabs>
              <w:tab w:val="right" w:leader="dot" w:pos="8845"/>
            </w:tabs>
            <w:rPr>
              <w:b/>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b/>
              <w:i w:val="0"/>
              <w:caps w:val="0"/>
              <w:spacing w:val="0"/>
              <w:kern w:val="0"/>
              <w:szCs w:val="28"/>
              <w:highlight w:val="none"/>
              <w:shd w:val="clear" w:color="auto" w:fill="FFFFFF"/>
              <w:lang w:val="en-US" w:eastAsia="zh-CN" w:bidi="ar"/>
            </w:rPr>
            <w:instrText xml:space="preserve"> HYPERLINK \l _Toc31492 </w:instrText>
          </w:r>
          <w:r>
            <w:rPr>
              <w:rFonts w:hint="eastAsia" w:ascii="宋体" w:hAnsi="宋体" w:eastAsia="宋体" w:cs="宋体"/>
              <w:b/>
              <w:i w:val="0"/>
              <w:caps w:val="0"/>
              <w:spacing w:val="0"/>
              <w:kern w:val="0"/>
              <w:szCs w:val="28"/>
              <w:highlight w:val="none"/>
              <w:shd w:val="clear" w:color="auto" w:fill="FFFFFF"/>
              <w:lang w:val="en-US" w:eastAsia="zh-CN" w:bidi="ar"/>
            </w:rPr>
            <w:fldChar w:fldCharType="separate"/>
          </w:r>
          <w:r>
            <w:rPr>
              <w:rFonts w:hint="eastAsia" w:ascii="黑体" w:hAnsi="黑体" w:eastAsia="黑体" w:cs="黑体"/>
              <w:b/>
              <w:szCs w:val="32"/>
              <w:lang w:val="en-US" w:eastAsia="zh-CN"/>
            </w:rPr>
            <w:t>一、基本职能及主要工作</w:t>
          </w:r>
          <w:r>
            <w:rPr>
              <w:b/>
            </w:rPr>
            <w:tab/>
          </w:r>
          <w:r>
            <w:rPr>
              <w:b/>
            </w:rPr>
            <w:fldChar w:fldCharType="begin"/>
          </w:r>
          <w:r>
            <w:rPr>
              <w:b/>
            </w:rPr>
            <w:instrText xml:space="preserve"> PAGEREF _Toc31492 \h </w:instrText>
          </w:r>
          <w:r>
            <w:rPr>
              <w:b/>
            </w:rPr>
            <w:fldChar w:fldCharType="separate"/>
          </w:r>
          <w:r>
            <w:rPr>
              <w:b/>
            </w:rPr>
            <w:t>1</w:t>
          </w:r>
          <w:r>
            <w:rPr>
              <w:b/>
            </w:rPr>
            <w:fldChar w:fldCharType="end"/>
          </w: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_Toc8295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广元市人力资源和社会保障局机关</w:t>
          </w:r>
          <w:r>
            <w:rPr>
              <w:rFonts w:hint="eastAsia" w:ascii="楷体_GB2312" w:hAnsi="楷体_GB2312" w:eastAsia="楷体_GB2312" w:cs="楷体_GB2312"/>
              <w:szCs w:val="32"/>
            </w:rPr>
            <w:t>职能简介</w:t>
          </w:r>
          <w:r>
            <w:tab/>
          </w:r>
          <w:r>
            <w:fldChar w:fldCharType="begin"/>
          </w:r>
          <w:r>
            <w:instrText xml:space="preserve"> PAGEREF _Toc8295 \h </w:instrText>
          </w:r>
          <w:r>
            <w:fldChar w:fldCharType="separate"/>
          </w:r>
          <w:r>
            <w:t>1</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_Toc2743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rPr>
            <w:t>（二）</w:t>
          </w:r>
          <w:r>
            <w:rPr>
              <w:rFonts w:hint="eastAsia" w:ascii="楷体_GB2312" w:hAnsi="楷体_GB2312" w:eastAsia="楷体_GB2312" w:cs="楷体_GB2312"/>
              <w:szCs w:val="32"/>
              <w:lang w:val="en-US" w:eastAsia="zh-CN"/>
            </w:rPr>
            <w:t>广元市人力资源和社会保障局机关</w:t>
          </w:r>
          <w:r>
            <w:rPr>
              <w:rFonts w:hint="eastAsia" w:ascii="楷体_GB2312" w:hAnsi="楷体_GB2312" w:eastAsia="楷体_GB2312" w:cs="楷体_GB2312"/>
              <w:szCs w:val="32"/>
              <w:lang w:val="en-US"/>
            </w:rPr>
            <w:t>2024</w:t>
          </w:r>
          <w:r>
            <w:rPr>
              <w:rFonts w:hint="eastAsia" w:ascii="楷体_GB2312" w:hAnsi="楷体_GB2312" w:eastAsia="楷体_GB2312" w:cs="楷体_GB2312"/>
              <w:szCs w:val="32"/>
            </w:rPr>
            <w:t>年重点工作</w:t>
          </w:r>
          <w:r>
            <w:tab/>
          </w:r>
          <w:r>
            <w:fldChar w:fldCharType="begin"/>
          </w:r>
          <w:r>
            <w:instrText xml:space="preserve"> PAGEREF _Toc2743 \h </w:instrText>
          </w:r>
          <w:r>
            <w:fldChar w:fldCharType="separate"/>
          </w:r>
          <w:r>
            <w:t>3</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6"/>
            <w:tabs>
              <w:tab w:val="right" w:leader="dot" w:pos="8845"/>
            </w:tabs>
            <w:rPr>
              <w:b/>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b/>
              <w:i w:val="0"/>
              <w:caps w:val="0"/>
              <w:spacing w:val="0"/>
              <w:kern w:val="0"/>
              <w:szCs w:val="28"/>
              <w:highlight w:val="none"/>
              <w:shd w:val="clear" w:color="auto" w:fill="FFFFFF"/>
              <w:lang w:val="en-US" w:eastAsia="zh-CN" w:bidi="ar"/>
            </w:rPr>
            <w:instrText xml:space="preserve"> HYPERLINK \l _Toc8590 </w:instrText>
          </w:r>
          <w:r>
            <w:rPr>
              <w:rFonts w:hint="eastAsia" w:ascii="宋体" w:hAnsi="宋体" w:eastAsia="宋体" w:cs="宋体"/>
              <w:b/>
              <w:i w:val="0"/>
              <w:caps w:val="0"/>
              <w:spacing w:val="0"/>
              <w:kern w:val="0"/>
              <w:szCs w:val="28"/>
              <w:highlight w:val="none"/>
              <w:shd w:val="clear" w:color="auto" w:fill="FFFFFF"/>
              <w:lang w:val="en-US" w:eastAsia="zh-CN" w:bidi="ar"/>
            </w:rPr>
            <w:fldChar w:fldCharType="separate"/>
          </w:r>
          <w:r>
            <w:rPr>
              <w:rFonts w:hint="eastAsia" w:ascii="黑体" w:hAnsi="黑体" w:eastAsia="黑体" w:cs="黑体"/>
              <w:b/>
              <w:szCs w:val="32"/>
              <w:lang w:val="en-US" w:eastAsia="zh-CN"/>
            </w:rPr>
            <w:t>二、部门预算单位构成</w:t>
          </w:r>
          <w:r>
            <w:rPr>
              <w:b/>
            </w:rPr>
            <w:tab/>
          </w:r>
          <w:r>
            <w:rPr>
              <w:b/>
            </w:rPr>
            <w:fldChar w:fldCharType="begin"/>
          </w:r>
          <w:r>
            <w:rPr>
              <w:b/>
            </w:rPr>
            <w:instrText xml:space="preserve"> PAGEREF _Toc8590 \h </w:instrText>
          </w:r>
          <w:r>
            <w:rPr>
              <w:b/>
            </w:rPr>
            <w:fldChar w:fldCharType="separate"/>
          </w:r>
          <w:r>
            <w:rPr>
              <w:b/>
            </w:rPr>
            <w:t>7</w:t>
          </w:r>
          <w:r>
            <w:rPr>
              <w:b/>
            </w:rPr>
            <w:fldChar w:fldCharType="end"/>
          </w: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6"/>
            <w:tabs>
              <w:tab w:val="right" w:leader="dot" w:pos="8845"/>
            </w:tabs>
            <w:rPr>
              <w:b/>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b/>
              <w:i w:val="0"/>
              <w:caps w:val="0"/>
              <w:spacing w:val="0"/>
              <w:kern w:val="0"/>
              <w:szCs w:val="28"/>
              <w:highlight w:val="none"/>
              <w:shd w:val="clear" w:color="auto" w:fill="FFFFFF"/>
              <w:lang w:val="en-US" w:eastAsia="zh-CN" w:bidi="ar"/>
            </w:rPr>
            <w:instrText xml:space="preserve"> HYPERLINK \l _Toc27677 </w:instrText>
          </w:r>
          <w:r>
            <w:rPr>
              <w:rFonts w:hint="eastAsia" w:ascii="宋体" w:hAnsi="宋体" w:eastAsia="宋体" w:cs="宋体"/>
              <w:b/>
              <w:i w:val="0"/>
              <w:caps w:val="0"/>
              <w:spacing w:val="0"/>
              <w:kern w:val="0"/>
              <w:szCs w:val="28"/>
              <w:highlight w:val="none"/>
              <w:shd w:val="clear" w:color="auto" w:fill="FFFFFF"/>
              <w:lang w:val="en-US" w:eastAsia="zh-CN" w:bidi="ar"/>
            </w:rPr>
            <w:fldChar w:fldCharType="separate"/>
          </w:r>
          <w:r>
            <w:rPr>
              <w:rFonts w:hint="eastAsia" w:ascii="黑体" w:hAnsi="黑体" w:eastAsia="黑体" w:cs="黑体"/>
              <w:b/>
              <w:szCs w:val="32"/>
              <w:lang w:val="en-US" w:eastAsia="zh-CN"/>
            </w:rPr>
            <w:t>三、收支预算情况说明</w:t>
          </w:r>
          <w:r>
            <w:rPr>
              <w:b/>
            </w:rPr>
            <w:tab/>
          </w:r>
          <w:r>
            <w:rPr>
              <w:b/>
            </w:rPr>
            <w:fldChar w:fldCharType="begin"/>
          </w:r>
          <w:r>
            <w:rPr>
              <w:b/>
            </w:rPr>
            <w:instrText xml:space="preserve"> PAGEREF _Toc27677 \h </w:instrText>
          </w:r>
          <w:r>
            <w:rPr>
              <w:b/>
            </w:rPr>
            <w:fldChar w:fldCharType="separate"/>
          </w:r>
          <w:r>
            <w:rPr>
              <w:b/>
            </w:rPr>
            <w:t>7</w:t>
          </w:r>
          <w:r>
            <w:rPr>
              <w:b/>
            </w:rPr>
            <w:fldChar w:fldCharType="end"/>
          </w: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_Toc28133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（一）收入预算情况</w:t>
          </w:r>
          <w:r>
            <w:tab/>
          </w:r>
          <w:r>
            <w:fldChar w:fldCharType="begin"/>
          </w:r>
          <w:r>
            <w:instrText xml:space="preserve"> PAGEREF _Toc28133 \h </w:instrText>
          </w:r>
          <w:r>
            <w:fldChar w:fldCharType="separate"/>
          </w:r>
          <w:r>
            <w:t>8</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_Toc22562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（二）支出预算情况</w:t>
          </w:r>
          <w:r>
            <w:tab/>
          </w:r>
          <w:r>
            <w:fldChar w:fldCharType="begin"/>
          </w:r>
          <w:r>
            <w:instrText xml:space="preserve"> PAGEREF _Toc22562 \h </w:instrText>
          </w:r>
          <w:r>
            <w:fldChar w:fldCharType="separate"/>
          </w:r>
          <w:r>
            <w:t>8</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6"/>
            <w:tabs>
              <w:tab w:val="right" w:leader="dot" w:pos="8845"/>
            </w:tabs>
            <w:rPr>
              <w:b/>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b/>
              <w:i w:val="0"/>
              <w:caps w:val="0"/>
              <w:spacing w:val="0"/>
              <w:kern w:val="0"/>
              <w:szCs w:val="28"/>
              <w:highlight w:val="none"/>
              <w:shd w:val="clear" w:color="auto" w:fill="FFFFFF"/>
              <w:lang w:val="en-US" w:eastAsia="zh-CN" w:bidi="ar"/>
            </w:rPr>
            <w:instrText xml:space="preserve"> HYPERLINK \l _Toc20192 </w:instrText>
          </w:r>
          <w:r>
            <w:rPr>
              <w:rFonts w:hint="eastAsia" w:ascii="宋体" w:hAnsi="宋体" w:eastAsia="宋体" w:cs="宋体"/>
              <w:b/>
              <w:i w:val="0"/>
              <w:caps w:val="0"/>
              <w:spacing w:val="0"/>
              <w:kern w:val="0"/>
              <w:szCs w:val="28"/>
              <w:highlight w:val="none"/>
              <w:shd w:val="clear" w:color="auto" w:fill="FFFFFF"/>
              <w:lang w:val="en-US" w:eastAsia="zh-CN" w:bidi="ar"/>
            </w:rPr>
            <w:fldChar w:fldCharType="separate"/>
          </w:r>
          <w:r>
            <w:rPr>
              <w:rFonts w:hint="eastAsia" w:ascii="黑体" w:hAnsi="黑体" w:eastAsia="黑体" w:cs="黑体"/>
              <w:b/>
              <w:szCs w:val="32"/>
              <w:lang w:val="en-US" w:eastAsia="zh-CN"/>
            </w:rPr>
            <w:t>四、财政拨款收支预算情况说明</w:t>
          </w:r>
          <w:r>
            <w:rPr>
              <w:b/>
            </w:rPr>
            <w:tab/>
          </w:r>
          <w:r>
            <w:rPr>
              <w:b/>
            </w:rPr>
            <w:fldChar w:fldCharType="begin"/>
          </w:r>
          <w:r>
            <w:rPr>
              <w:b/>
            </w:rPr>
            <w:instrText xml:space="preserve"> PAGEREF _Toc20192 \h </w:instrText>
          </w:r>
          <w:r>
            <w:rPr>
              <w:b/>
            </w:rPr>
            <w:fldChar w:fldCharType="separate"/>
          </w:r>
          <w:r>
            <w:rPr>
              <w:b/>
            </w:rPr>
            <w:t>8</w:t>
          </w:r>
          <w:r>
            <w:rPr>
              <w:b/>
            </w:rPr>
            <w:fldChar w:fldCharType="end"/>
          </w: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6"/>
            <w:tabs>
              <w:tab w:val="right" w:leader="dot" w:pos="8845"/>
            </w:tabs>
            <w:rPr>
              <w:b/>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b/>
              <w:i w:val="0"/>
              <w:caps w:val="0"/>
              <w:spacing w:val="0"/>
              <w:kern w:val="0"/>
              <w:szCs w:val="28"/>
              <w:highlight w:val="none"/>
              <w:shd w:val="clear" w:color="auto" w:fill="FFFFFF"/>
              <w:lang w:val="en-US" w:eastAsia="zh-CN" w:bidi="ar"/>
            </w:rPr>
            <w:instrText xml:space="preserve"> HYPERLINK \l _Toc32179 </w:instrText>
          </w:r>
          <w:r>
            <w:rPr>
              <w:rFonts w:hint="eastAsia" w:ascii="宋体" w:hAnsi="宋体" w:eastAsia="宋体" w:cs="宋体"/>
              <w:b/>
              <w:i w:val="0"/>
              <w:caps w:val="0"/>
              <w:spacing w:val="0"/>
              <w:kern w:val="0"/>
              <w:szCs w:val="28"/>
              <w:highlight w:val="none"/>
              <w:shd w:val="clear" w:color="auto" w:fill="FFFFFF"/>
              <w:lang w:val="en-US" w:eastAsia="zh-CN" w:bidi="ar"/>
            </w:rPr>
            <w:fldChar w:fldCharType="separate"/>
          </w:r>
          <w:r>
            <w:rPr>
              <w:rFonts w:hint="eastAsia" w:ascii="黑体" w:hAnsi="黑体" w:eastAsia="黑体" w:cs="黑体"/>
              <w:b/>
              <w:szCs w:val="32"/>
              <w:lang w:val="en-US" w:eastAsia="zh-CN"/>
            </w:rPr>
            <w:t>五、一般公共预算当年拨款情况说明</w:t>
          </w:r>
          <w:r>
            <w:rPr>
              <w:b/>
            </w:rPr>
            <w:tab/>
          </w:r>
          <w:r>
            <w:rPr>
              <w:b/>
            </w:rPr>
            <w:fldChar w:fldCharType="begin"/>
          </w:r>
          <w:r>
            <w:rPr>
              <w:b/>
            </w:rPr>
            <w:instrText xml:space="preserve"> PAGEREF _Toc32179 \h </w:instrText>
          </w:r>
          <w:r>
            <w:rPr>
              <w:b/>
            </w:rPr>
            <w:fldChar w:fldCharType="separate"/>
          </w:r>
          <w:r>
            <w:rPr>
              <w:b/>
            </w:rPr>
            <w:t>8</w:t>
          </w:r>
          <w:r>
            <w:rPr>
              <w:b/>
            </w:rPr>
            <w:fldChar w:fldCharType="end"/>
          </w: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_Toc24001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（一）一般公共预算当年拨款规模变化情况</w:t>
          </w:r>
          <w:r>
            <w:tab/>
          </w:r>
          <w:r>
            <w:fldChar w:fldCharType="begin"/>
          </w:r>
          <w:r>
            <w:instrText xml:space="preserve"> PAGEREF _Toc24001 \h </w:instrText>
          </w:r>
          <w:r>
            <w:fldChar w:fldCharType="separate"/>
          </w:r>
          <w:r>
            <w:t>8</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_Toc18163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（二）一般公共预算当年拨款结构情况</w:t>
          </w:r>
          <w:r>
            <w:tab/>
          </w:r>
          <w:r>
            <w:fldChar w:fldCharType="begin"/>
          </w:r>
          <w:r>
            <w:instrText xml:space="preserve"> PAGEREF _Toc18163 \h </w:instrText>
          </w:r>
          <w:r>
            <w:fldChar w:fldCharType="separate"/>
          </w:r>
          <w:r>
            <w:t>9</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_Toc17020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（三） 一般公共预算当年拨款具体使用情况</w:t>
          </w:r>
          <w:r>
            <w:tab/>
          </w:r>
          <w:r>
            <w:fldChar w:fldCharType="begin"/>
          </w:r>
          <w:r>
            <w:instrText xml:space="preserve"> PAGEREF _Toc17020 \h </w:instrText>
          </w:r>
          <w:r>
            <w:fldChar w:fldCharType="separate"/>
          </w:r>
          <w:r>
            <w:t>9</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6"/>
            <w:tabs>
              <w:tab w:val="right" w:leader="dot" w:pos="8845"/>
            </w:tabs>
            <w:rPr>
              <w:b/>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b/>
              <w:i w:val="0"/>
              <w:caps w:val="0"/>
              <w:spacing w:val="0"/>
              <w:kern w:val="0"/>
              <w:szCs w:val="28"/>
              <w:highlight w:val="none"/>
              <w:shd w:val="clear" w:color="auto" w:fill="FFFFFF"/>
              <w:lang w:val="en-US" w:eastAsia="zh-CN" w:bidi="ar"/>
            </w:rPr>
            <w:instrText xml:space="preserve"> HYPERLINK \l _Toc28918 </w:instrText>
          </w:r>
          <w:r>
            <w:rPr>
              <w:rFonts w:hint="eastAsia" w:ascii="宋体" w:hAnsi="宋体" w:eastAsia="宋体" w:cs="宋体"/>
              <w:b/>
              <w:i w:val="0"/>
              <w:caps w:val="0"/>
              <w:spacing w:val="0"/>
              <w:kern w:val="0"/>
              <w:szCs w:val="28"/>
              <w:highlight w:val="none"/>
              <w:shd w:val="clear" w:color="auto" w:fill="FFFFFF"/>
              <w:lang w:val="en-US" w:eastAsia="zh-CN" w:bidi="ar"/>
            </w:rPr>
            <w:fldChar w:fldCharType="separate"/>
          </w:r>
          <w:r>
            <w:rPr>
              <w:rFonts w:hint="eastAsia" w:ascii="黑体" w:hAnsi="黑体" w:eastAsia="黑体" w:cs="黑体"/>
              <w:b/>
              <w:szCs w:val="32"/>
              <w:lang w:val="en-US" w:eastAsia="zh-CN"/>
            </w:rPr>
            <w:t>六、一般公共预算基本支出情况说明</w:t>
          </w:r>
          <w:r>
            <w:rPr>
              <w:b/>
            </w:rPr>
            <w:tab/>
          </w:r>
          <w:r>
            <w:rPr>
              <w:b/>
            </w:rPr>
            <w:fldChar w:fldCharType="begin"/>
          </w:r>
          <w:r>
            <w:rPr>
              <w:b/>
            </w:rPr>
            <w:instrText xml:space="preserve"> PAGEREF _Toc28918 \h </w:instrText>
          </w:r>
          <w:r>
            <w:rPr>
              <w:b/>
            </w:rPr>
            <w:fldChar w:fldCharType="separate"/>
          </w:r>
          <w:r>
            <w:rPr>
              <w:b/>
            </w:rPr>
            <w:t>11</w:t>
          </w:r>
          <w:r>
            <w:rPr>
              <w:b/>
            </w:rPr>
            <w:fldChar w:fldCharType="end"/>
          </w: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6"/>
            <w:tabs>
              <w:tab w:val="right" w:leader="dot" w:pos="8845"/>
            </w:tabs>
            <w:rPr>
              <w:b/>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b/>
              <w:i w:val="0"/>
              <w:caps w:val="0"/>
              <w:spacing w:val="0"/>
              <w:kern w:val="0"/>
              <w:szCs w:val="28"/>
              <w:highlight w:val="none"/>
              <w:shd w:val="clear" w:color="auto" w:fill="FFFFFF"/>
              <w:lang w:val="en-US" w:eastAsia="zh-CN" w:bidi="ar"/>
            </w:rPr>
            <w:instrText xml:space="preserve"> HYPERLINK \l _Toc28413 </w:instrText>
          </w:r>
          <w:r>
            <w:rPr>
              <w:rFonts w:hint="eastAsia" w:ascii="宋体" w:hAnsi="宋体" w:eastAsia="宋体" w:cs="宋体"/>
              <w:b/>
              <w:i w:val="0"/>
              <w:caps w:val="0"/>
              <w:spacing w:val="0"/>
              <w:kern w:val="0"/>
              <w:szCs w:val="28"/>
              <w:highlight w:val="none"/>
              <w:shd w:val="clear" w:color="auto" w:fill="FFFFFF"/>
              <w:lang w:val="en-US" w:eastAsia="zh-CN" w:bidi="ar"/>
            </w:rPr>
            <w:fldChar w:fldCharType="separate"/>
          </w:r>
          <w:r>
            <w:rPr>
              <w:rFonts w:hint="eastAsia" w:ascii="黑体" w:hAnsi="黑体" w:eastAsia="黑体" w:cs="黑体"/>
              <w:b/>
              <w:szCs w:val="32"/>
              <w:lang w:val="en-US" w:eastAsia="zh-CN"/>
            </w:rPr>
            <w:t>七、“三公”经费财政拨款预算安排情况说明</w:t>
          </w:r>
          <w:r>
            <w:rPr>
              <w:b/>
            </w:rPr>
            <w:tab/>
          </w:r>
          <w:r>
            <w:rPr>
              <w:b/>
            </w:rPr>
            <w:fldChar w:fldCharType="begin"/>
          </w:r>
          <w:r>
            <w:rPr>
              <w:b/>
            </w:rPr>
            <w:instrText xml:space="preserve"> PAGEREF _Toc28413 \h </w:instrText>
          </w:r>
          <w:r>
            <w:rPr>
              <w:b/>
            </w:rPr>
            <w:fldChar w:fldCharType="separate"/>
          </w:r>
          <w:r>
            <w:rPr>
              <w:b/>
            </w:rPr>
            <w:t>11</w:t>
          </w:r>
          <w:r>
            <w:rPr>
              <w:b/>
            </w:rPr>
            <w:fldChar w:fldCharType="end"/>
          </w: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_Toc21109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（一）公务接待费</w:t>
          </w:r>
          <w:r>
            <w:tab/>
          </w:r>
          <w:r>
            <w:fldChar w:fldCharType="begin"/>
          </w:r>
          <w:r>
            <w:instrText xml:space="preserve"> PAGEREF _Toc21109 \h </w:instrText>
          </w:r>
          <w:r>
            <w:fldChar w:fldCharType="separate"/>
          </w:r>
          <w:r>
            <w:t>11</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_Toc24977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 公务用车购置及运行维护费</w:t>
          </w:r>
          <w:r>
            <w:tab/>
          </w:r>
          <w:r>
            <w:fldChar w:fldCharType="begin"/>
          </w:r>
          <w:r>
            <w:instrText xml:space="preserve"> PAGEREF _Toc24977 \h </w:instrText>
          </w:r>
          <w:r>
            <w:fldChar w:fldCharType="separate"/>
          </w:r>
          <w:r>
            <w:t>12</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_Toc20771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仿宋_GB2312" w:hAnsi="仿宋_GB2312" w:eastAsia="仿宋_GB2312" w:cs="仿宋_GB2312"/>
              <w:szCs w:val="32"/>
              <w:lang w:val="en-US" w:eastAsia="zh-CN"/>
            </w:rPr>
            <w:t>（</w:t>
          </w:r>
          <w:r>
            <w:rPr>
              <w:rFonts w:hint="eastAsia" w:ascii="楷体_GB2312" w:hAnsi="楷体_GB2312" w:eastAsia="楷体_GB2312" w:cs="楷体_GB2312"/>
              <w:szCs w:val="32"/>
              <w:lang w:val="en-US" w:eastAsia="zh-CN"/>
            </w:rPr>
            <w:t>三）因公出国（境）经费</w:t>
          </w:r>
          <w:r>
            <w:tab/>
          </w:r>
          <w:r>
            <w:fldChar w:fldCharType="begin"/>
          </w:r>
          <w:r>
            <w:instrText xml:space="preserve"> PAGEREF _Toc20771 \h </w:instrText>
          </w:r>
          <w:r>
            <w:fldChar w:fldCharType="separate"/>
          </w:r>
          <w:r>
            <w:t>12</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6"/>
            <w:tabs>
              <w:tab w:val="right" w:leader="dot" w:pos="8845"/>
            </w:tabs>
            <w:rPr>
              <w:b/>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b/>
              <w:i w:val="0"/>
              <w:caps w:val="0"/>
              <w:spacing w:val="0"/>
              <w:kern w:val="0"/>
              <w:szCs w:val="28"/>
              <w:highlight w:val="none"/>
              <w:shd w:val="clear" w:color="auto" w:fill="FFFFFF"/>
              <w:lang w:val="en-US" w:eastAsia="zh-CN" w:bidi="ar"/>
            </w:rPr>
            <w:instrText xml:space="preserve"> HYPERLINK \l _Toc3950 </w:instrText>
          </w:r>
          <w:r>
            <w:rPr>
              <w:rFonts w:hint="eastAsia" w:ascii="宋体" w:hAnsi="宋体" w:eastAsia="宋体" w:cs="宋体"/>
              <w:b/>
              <w:i w:val="0"/>
              <w:caps w:val="0"/>
              <w:spacing w:val="0"/>
              <w:kern w:val="0"/>
              <w:szCs w:val="28"/>
              <w:highlight w:val="none"/>
              <w:shd w:val="clear" w:color="auto" w:fill="FFFFFF"/>
              <w:lang w:val="en-US" w:eastAsia="zh-CN" w:bidi="ar"/>
            </w:rPr>
            <w:fldChar w:fldCharType="separate"/>
          </w:r>
          <w:r>
            <w:rPr>
              <w:rFonts w:hint="eastAsia" w:ascii="黑体" w:hAnsi="黑体" w:eastAsia="黑体" w:cs="黑体"/>
              <w:b/>
              <w:szCs w:val="32"/>
              <w:lang w:val="en-US" w:eastAsia="zh-CN"/>
            </w:rPr>
            <w:t>九、国有资本经营预算支出情况说明</w:t>
          </w:r>
          <w:r>
            <w:rPr>
              <w:b/>
            </w:rPr>
            <w:tab/>
          </w:r>
          <w:r>
            <w:rPr>
              <w:b/>
            </w:rPr>
            <w:fldChar w:fldCharType="begin"/>
          </w:r>
          <w:r>
            <w:rPr>
              <w:b/>
            </w:rPr>
            <w:instrText xml:space="preserve"> PAGEREF _Toc3950 \h </w:instrText>
          </w:r>
          <w:r>
            <w:rPr>
              <w:b/>
            </w:rPr>
            <w:fldChar w:fldCharType="separate"/>
          </w:r>
          <w:r>
            <w:rPr>
              <w:b/>
            </w:rPr>
            <w:t>12</w:t>
          </w:r>
          <w:r>
            <w:rPr>
              <w:b/>
            </w:rPr>
            <w:fldChar w:fldCharType="end"/>
          </w: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6"/>
            <w:tabs>
              <w:tab w:val="right" w:leader="dot" w:pos="8845"/>
            </w:tabs>
            <w:rPr>
              <w:b/>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b/>
              <w:i w:val="0"/>
              <w:caps w:val="0"/>
              <w:spacing w:val="0"/>
              <w:kern w:val="0"/>
              <w:szCs w:val="28"/>
              <w:highlight w:val="none"/>
              <w:shd w:val="clear" w:color="auto" w:fill="FFFFFF"/>
              <w:lang w:val="en-US" w:eastAsia="zh-CN" w:bidi="ar"/>
            </w:rPr>
            <w:instrText xml:space="preserve"> HYPERLINK \l _Toc24757 </w:instrText>
          </w:r>
          <w:r>
            <w:rPr>
              <w:rFonts w:hint="eastAsia" w:ascii="宋体" w:hAnsi="宋体" w:eastAsia="宋体" w:cs="宋体"/>
              <w:b/>
              <w:i w:val="0"/>
              <w:caps w:val="0"/>
              <w:spacing w:val="0"/>
              <w:kern w:val="0"/>
              <w:szCs w:val="28"/>
              <w:highlight w:val="none"/>
              <w:shd w:val="clear" w:color="auto" w:fill="FFFFFF"/>
              <w:lang w:val="en-US" w:eastAsia="zh-CN" w:bidi="ar"/>
            </w:rPr>
            <w:fldChar w:fldCharType="separate"/>
          </w:r>
          <w:r>
            <w:rPr>
              <w:rFonts w:hint="eastAsia" w:ascii="黑体" w:hAnsi="黑体" w:eastAsia="黑体" w:cs="黑体"/>
              <w:b/>
              <w:szCs w:val="32"/>
              <w:lang w:val="en-US" w:eastAsia="zh-CN"/>
            </w:rPr>
            <w:t>十、其他重要事项的情况说明</w:t>
          </w:r>
          <w:r>
            <w:rPr>
              <w:b/>
            </w:rPr>
            <w:tab/>
          </w:r>
          <w:r>
            <w:rPr>
              <w:b/>
            </w:rPr>
            <w:fldChar w:fldCharType="begin"/>
          </w:r>
          <w:r>
            <w:rPr>
              <w:b/>
            </w:rPr>
            <w:instrText xml:space="preserve"> PAGEREF _Toc24757 \h </w:instrText>
          </w:r>
          <w:r>
            <w:rPr>
              <w:b/>
            </w:rPr>
            <w:fldChar w:fldCharType="separate"/>
          </w:r>
          <w:r>
            <w:rPr>
              <w:b/>
            </w:rPr>
            <w:t>13</w:t>
          </w:r>
          <w:r>
            <w:rPr>
              <w:b/>
            </w:rPr>
            <w:fldChar w:fldCharType="end"/>
          </w: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_Toc7245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（一）机关运行经费</w:t>
          </w:r>
          <w:r>
            <w:tab/>
          </w:r>
          <w:r>
            <w:fldChar w:fldCharType="begin"/>
          </w:r>
          <w:r>
            <w:instrText xml:space="preserve"> PAGEREF _Toc7245 \h </w:instrText>
          </w:r>
          <w:r>
            <w:fldChar w:fldCharType="separate"/>
          </w:r>
          <w:r>
            <w:t>13</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_Toc12652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（二）政府采购情况</w:t>
          </w:r>
          <w:r>
            <w:tab/>
          </w:r>
          <w:r>
            <w:fldChar w:fldCharType="begin"/>
          </w:r>
          <w:r>
            <w:instrText xml:space="preserve"> PAGEREF _Toc12652 \h </w:instrText>
          </w:r>
          <w:r>
            <w:fldChar w:fldCharType="separate"/>
          </w:r>
          <w:r>
            <w:t>13</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_Toc14921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（三）国有资产占有使用情况</w:t>
          </w:r>
          <w:r>
            <w:tab/>
          </w:r>
          <w:r>
            <w:fldChar w:fldCharType="begin"/>
          </w:r>
          <w:r>
            <w:instrText xml:space="preserve"> PAGEREF _Toc14921 \h </w:instrText>
          </w:r>
          <w:r>
            <w:fldChar w:fldCharType="separate"/>
          </w:r>
          <w:r>
            <w:t>13</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7"/>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_Toc10037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（四）绩效目标设置情况</w:t>
          </w:r>
          <w:r>
            <w:tab/>
          </w:r>
          <w:r>
            <w:fldChar w:fldCharType="begin"/>
          </w:r>
          <w:r>
            <w:instrText xml:space="preserve"> PAGEREF _Toc10037 \h </w:instrText>
          </w:r>
          <w:r>
            <w:fldChar w:fldCharType="separate"/>
          </w:r>
          <w:r>
            <w:t>13</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16"/>
            <w:tabs>
              <w:tab w:val="right" w:leader="dot" w:pos="8845"/>
            </w:tabs>
            <w:rPr>
              <w:b/>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b/>
              <w:i w:val="0"/>
              <w:caps w:val="0"/>
              <w:spacing w:val="0"/>
              <w:kern w:val="0"/>
              <w:szCs w:val="28"/>
              <w:highlight w:val="none"/>
              <w:shd w:val="clear" w:color="auto" w:fill="FFFFFF"/>
              <w:lang w:val="en-US" w:eastAsia="zh-CN" w:bidi="ar"/>
            </w:rPr>
            <w:instrText xml:space="preserve"> HYPERLINK \l _Toc26973 </w:instrText>
          </w:r>
          <w:r>
            <w:rPr>
              <w:rFonts w:hint="eastAsia" w:ascii="宋体" w:hAnsi="宋体" w:eastAsia="宋体" w:cs="宋体"/>
              <w:b/>
              <w:i w:val="0"/>
              <w:caps w:val="0"/>
              <w:spacing w:val="0"/>
              <w:kern w:val="0"/>
              <w:szCs w:val="28"/>
              <w:highlight w:val="none"/>
              <w:shd w:val="clear" w:color="auto" w:fill="FFFFFF"/>
              <w:lang w:val="en-US" w:eastAsia="zh-CN" w:bidi="ar"/>
            </w:rPr>
            <w:fldChar w:fldCharType="separate"/>
          </w:r>
          <w:r>
            <w:rPr>
              <w:rFonts w:hint="eastAsia" w:ascii="黑体" w:hAnsi="黑体" w:eastAsia="黑体" w:cs="黑体"/>
              <w:b/>
              <w:szCs w:val="32"/>
              <w:lang w:val="en-US" w:eastAsia="zh-CN"/>
            </w:rPr>
            <w:t>十一、名词解释</w:t>
          </w:r>
          <w:r>
            <w:rPr>
              <w:b/>
            </w:rPr>
            <w:tab/>
          </w:r>
          <w:r>
            <w:rPr>
              <w:b/>
            </w:rPr>
            <w:fldChar w:fldCharType="begin"/>
          </w:r>
          <w:r>
            <w:rPr>
              <w:b/>
            </w:rPr>
            <w:instrText xml:space="preserve"> PAGEREF _Toc26973 \h </w:instrText>
          </w:r>
          <w:r>
            <w:rPr>
              <w:b/>
            </w:rPr>
            <w:fldChar w:fldCharType="separate"/>
          </w:r>
          <w:r>
            <w:rPr>
              <w:b/>
            </w:rPr>
            <w:t>13</w:t>
          </w:r>
          <w:r>
            <w:rPr>
              <w:b/>
            </w:rPr>
            <w:fldChar w:fldCharType="end"/>
          </w: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481"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b/>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sdtContent>
    </w:sdt>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 w:name="_Toc31492"/>
      <w:r>
        <w:rPr>
          <w:rFonts w:hint="eastAsia" w:ascii="黑体" w:hAnsi="黑体" w:eastAsia="黑体" w:cs="黑体"/>
          <w:sz w:val="32"/>
          <w:szCs w:val="32"/>
          <w:lang w:val="en-US" w:eastAsia="zh-CN"/>
        </w:rPr>
        <w:t>一、基本职能及主要工作</w:t>
      </w:r>
      <w:bookmarkEnd w:id="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3" w:name="_Toc8295"/>
      <w:bookmarkStart w:id="4" w:name="_Toc29194"/>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广元市人力资源和社会保障局机关</w:t>
      </w:r>
      <w:r>
        <w:rPr>
          <w:rFonts w:hint="eastAsia" w:ascii="楷体_GB2312" w:hAnsi="楷体_GB2312" w:eastAsia="楷体_GB2312" w:cs="楷体_GB2312"/>
          <w:sz w:val="32"/>
          <w:szCs w:val="32"/>
        </w:rPr>
        <w:t>职能简介</w:t>
      </w:r>
      <w:bookmarkEnd w:id="3"/>
      <w:bookmarkEnd w:id="4"/>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拟订全市人力资源和社会保障事业发展规划、政策并组织实施和监督检查。起草地方性法规、规章草案。</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拟订全市人力资源市场发展规划和人力资源流动政策并组织实施，建立全市统一规范的人力资源市场，促进人力资源合理流动、有效配置。</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负责促进就业工作，拟订统筹城乡的就业发展规划和政策，完善公共就业创业服务体系，拟订并组织落实创业、就业援助制度，完善职业资格制度，统筹建立面向城乡劳动者的职业培训制度，牵头拟订并实施高校毕业生就业政策。</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统筹建立覆盖城乡的多层次社会保障体系。拟订社会保险政策和标准。贯彻落实养老保险全国统筹办法和全国统一的养老、失业、工伤保险关系转续办法。组织拟订基本养老、企业年金、职业年金、失业、工伤保险基金管理和监督制度，编制全市社会保险基金预决算草案，参与制定全市社会保障基金投资政策。会同有关部门实施全民参保计划。拟订人力资源和社会保障信息化建设总体规划、年度计划，制订相关制度、标准和规范并组织实施。指导、督促企业参加工伤保险。</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负责就业、失业和相关社会保险基金预测预警和信息引导，拟订应对预案，实施预防、调节和控制，保持就业形势稳定和社会保险基金总体收支平衡。</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统筹拟订劳动人事争议调解仲裁制度，完善劳动关系协调机制，拟订职工工作时间、休息休假和假期制度，拟订消除非法使用童工政策和女工、未成年工的特殊劳动保护措施。依法督促用人单位在劳动用工、合同签订与履约时，载明劳动保护、劳动条件和职业危害防护等条款。组织实施劳动监察，协调劳动者维权工作，依法查处重大案件。</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牵头推进深化职称制度改革，拟订专业技术人员管理、继续教育和博士后管理等政策，负责高层次专业技术人才选拔和培养工作，拟订吸引国（境）外专家、留学人员来广（回广）工作或定居政策。组织拟订技能人才培养、评价、使用和激励制度。贯彻落实职业资格制度，健全职业技能多元化评价政策。指导、监督各级各类技工学校、民办职业培训机构按国家和省有关规定履行安全管理责任。</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会同有关部门指导事业单位人事制度改革，按照管理权限负责规范事业单位岗位设置、公开招聘、聘用合同等人事综合管理工作，拟订事业单位人员和机关工勤人员管理政策，将安全生产责任履行情况作为事业单位工作人员奖惩、考核的重要内容。</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贯彻执行事业单位人员工资收入分配政策和企业职工工资收入分配调控政策，贯彻落实企事业单位人员工资正常增长和支付保障政策，贯彻执行企事业单位人员福利和离退休政策。</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组织实施国家表彰奖励制度，综合管理政府奖励表彰工作，承担评比达标表彰等工作，根据授权承办以市委、市政府名义开展的奖励表彰活动。承办提请市人大常委会和市政府决定的人事任免事项。</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贯彻执行农民工工作相关政策和规划，协调解决重点难点问题，维护农民工合法权益。负责将安全生产纳入农民工技能培训内容。</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负责人力资源和社会保障领域内的对外交流与合作工作。</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承担职责范围内的安全生产和职业健康、生态环境保护、审批服务便民化等工作。</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完成市委、市政府交办的其他事项。</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职能转变。深入推进简政放权、放管结合、优化服务改革，进一步减少行政审批事项，规范和优化对外办理事项，贯彻落实国家职业资格目录清单管理制度，加强事中事后监管，创新就业和社会保障等公共服务方式，加强信息共享，提高公共服务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ascii="仿宋_GB2312" w:eastAsia="仿宋_GB2312"/>
          <w:color w:val="auto"/>
          <w:sz w:val="32"/>
          <w:szCs w:val="32"/>
        </w:rPr>
        <w:t>16.</w:t>
      </w:r>
      <w:r>
        <w:rPr>
          <w:rFonts w:hint="eastAsia" w:ascii="仿宋_GB2312" w:eastAsia="仿宋_GB2312"/>
          <w:color w:val="auto"/>
          <w:sz w:val="32"/>
          <w:szCs w:val="32"/>
        </w:rPr>
        <w:t>有关职责分工。高校毕业生就业政策由市人力资源社会保障局牵头，会同教育等部门拟订。高校毕业生离校前的就业指导和服务工作，由教育部门负责；高校毕业生离校后的就业指导和服务工作，由市人力资源社会保障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5" w:name="_Toc2743"/>
      <w:bookmarkStart w:id="6" w:name="_Toc19125"/>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广元市人力资源和社会保障局机关</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bookmarkEnd w:id="5"/>
      <w:bookmarkEnd w:id="6"/>
    </w:p>
    <w:p>
      <w:pPr>
        <w:spacing w:line="576" w:lineRule="exact"/>
        <w:ind w:firstLine="640" w:firstLineChars="200"/>
        <w:jc w:val="both"/>
        <w:rPr>
          <w:rFonts w:hint="eastAsia" w:ascii="仿宋_GB2312" w:eastAsia="仿宋_GB2312"/>
          <w:bCs/>
          <w:sz w:val="32"/>
          <w:szCs w:val="32"/>
        </w:rPr>
      </w:pPr>
      <w:r>
        <w:rPr>
          <w:rFonts w:hint="eastAsia" w:ascii="仿宋_GB2312" w:eastAsia="仿宋_GB2312"/>
          <w:bCs/>
          <w:sz w:val="32"/>
          <w:szCs w:val="32"/>
          <w:lang w:val="en-US" w:eastAsia="zh-CN"/>
        </w:rPr>
        <w:t>1.</w:t>
      </w:r>
      <w:r>
        <w:rPr>
          <w:rFonts w:hint="eastAsia" w:ascii="仿宋_GB2312" w:eastAsia="仿宋_GB2312"/>
          <w:bCs/>
          <w:sz w:val="32"/>
          <w:szCs w:val="32"/>
        </w:rPr>
        <w:t>稳定和扩大就业</w:t>
      </w:r>
      <w:r>
        <w:rPr>
          <w:rFonts w:hint="eastAsia" w:ascii="仿宋_GB2312" w:eastAsia="仿宋_GB2312"/>
          <w:bCs/>
          <w:sz w:val="32"/>
          <w:szCs w:val="32"/>
          <w:lang w:eastAsia="zh-CN"/>
        </w:rPr>
        <w:t>。</w:t>
      </w:r>
      <w:r>
        <w:rPr>
          <w:rFonts w:hint="eastAsia" w:ascii="仿宋_GB2312" w:eastAsia="仿宋_GB2312"/>
          <w:bCs/>
          <w:sz w:val="32"/>
          <w:szCs w:val="32"/>
        </w:rPr>
        <w:t>坚决扛起稳就业政治责任，坚持高质量充分就业目标，更加突出就业优先导向，加快完善高质量充分就业促进机制，</w:t>
      </w:r>
      <w:r>
        <w:rPr>
          <w:rFonts w:hint="eastAsia" w:ascii="仿宋_GB2312" w:eastAsia="仿宋_GB2312" w:cs="Times New Roman"/>
          <w:color w:val="000000"/>
          <w:kern w:val="0"/>
          <w:sz w:val="32"/>
          <w:szCs w:val="20"/>
          <w:lang w:bidi="ar-SA"/>
        </w:rPr>
        <w:t>大力实施就业促进工程，千方百计促进重点群体就业稳定，兜住兜牢就业民生底线。</w:t>
      </w:r>
      <w:r>
        <w:rPr>
          <w:rFonts w:hint="eastAsia" w:ascii="仿宋_GB2312" w:eastAsia="仿宋_GB2312" w:cs="Times New Roman"/>
          <w:color w:val="000000"/>
          <w:kern w:val="0"/>
          <w:sz w:val="32"/>
          <w:szCs w:val="20"/>
          <w:lang w:val="en-US" w:eastAsia="zh-CN" w:bidi="ar-SA"/>
        </w:rPr>
        <w:t>实现城镇新增就业</w:t>
      </w:r>
      <w:r>
        <w:rPr>
          <w:rFonts w:ascii="仿宋_GB2312" w:eastAsia="仿宋_GB2312" w:cs="Times New Roman"/>
          <w:color w:val="000000"/>
          <w:kern w:val="0"/>
          <w:sz w:val="32"/>
          <w:szCs w:val="20"/>
          <w:lang w:val="en-US" w:eastAsia="zh-CN" w:bidi="ar-SA"/>
        </w:rPr>
        <w:t>2.5</w:t>
      </w:r>
      <w:r>
        <w:rPr>
          <w:rFonts w:hint="eastAsia" w:ascii="仿宋_GB2312" w:eastAsia="仿宋_GB2312" w:cs="Times New Roman"/>
          <w:color w:val="000000"/>
          <w:kern w:val="0"/>
          <w:sz w:val="32"/>
          <w:szCs w:val="20"/>
          <w:lang w:val="en-US" w:eastAsia="zh-CN" w:bidi="ar-SA"/>
        </w:rPr>
        <w:t>万人以上，城镇失业人员再就业1.1万人，就业困难人员就业0.26万人,城镇调查失业率控制在5.5%左右，就业局势</w:t>
      </w:r>
      <w:r>
        <w:rPr>
          <w:rFonts w:ascii="仿宋_GB2312" w:eastAsia="仿宋_GB2312" w:cs="Times New Roman"/>
          <w:color w:val="000000"/>
          <w:kern w:val="0"/>
          <w:sz w:val="32"/>
          <w:szCs w:val="20"/>
          <w:lang w:val="en-US" w:eastAsia="zh-CN" w:bidi="ar-SA"/>
        </w:rPr>
        <w:t>总体</w:t>
      </w:r>
      <w:r>
        <w:rPr>
          <w:rFonts w:hint="eastAsia" w:ascii="仿宋_GB2312" w:eastAsia="仿宋_GB2312" w:cs="Times New Roman"/>
          <w:color w:val="000000"/>
          <w:kern w:val="0"/>
          <w:sz w:val="32"/>
          <w:szCs w:val="20"/>
          <w:lang w:val="en-US" w:eastAsia="zh-CN" w:bidi="ar-SA"/>
        </w:rPr>
        <w:t>稳定。</w:t>
      </w:r>
    </w:p>
    <w:p>
      <w:pPr>
        <w:spacing w:line="576" w:lineRule="exact"/>
        <w:ind w:firstLine="640"/>
        <w:rPr>
          <w:rFonts w:ascii="仿宋_GB2312" w:eastAsia="仿宋_GB2312" w:cs="仿宋_GB2312"/>
          <w:sz w:val="32"/>
          <w:szCs w:val="32"/>
        </w:rPr>
      </w:pPr>
      <w:r>
        <w:rPr>
          <w:rFonts w:hint="eastAsia" w:ascii="仿宋_GB2312" w:eastAsia="仿宋_GB2312"/>
          <w:spacing w:val="2"/>
          <w:sz w:val="32"/>
          <w:szCs w:val="32"/>
          <w:lang w:val="en-US" w:eastAsia="zh-CN"/>
        </w:rPr>
        <w:t>2.</w:t>
      </w:r>
      <w:r>
        <w:rPr>
          <w:rFonts w:hint="eastAsia" w:ascii="仿宋_GB2312" w:eastAsia="仿宋_GB2312"/>
          <w:spacing w:val="2"/>
          <w:sz w:val="32"/>
          <w:szCs w:val="32"/>
          <w:lang w:eastAsia="zh-CN"/>
        </w:rPr>
        <w:t>巩固深化社保制度改革。</w:t>
      </w:r>
      <w:r>
        <w:rPr>
          <w:rFonts w:ascii="仿宋_GB2312" w:eastAsia="仿宋_GB2312"/>
          <w:spacing w:val="2"/>
          <w:sz w:val="32"/>
          <w:szCs w:val="32"/>
          <w:lang w:eastAsia="zh-CN"/>
        </w:rPr>
        <w:t>坚持尽力而为、量力而行，</w:t>
      </w:r>
      <w:r>
        <w:rPr>
          <w:rFonts w:hint="eastAsia" w:ascii="仿宋_GB2312" w:eastAsia="仿宋_GB2312"/>
          <w:spacing w:val="2"/>
          <w:sz w:val="32"/>
          <w:szCs w:val="32"/>
        </w:rPr>
        <w:t>积极稳妥推进</w:t>
      </w:r>
      <w:r>
        <w:rPr>
          <w:rFonts w:ascii="仿宋_GB2312" w:eastAsia="仿宋_GB2312"/>
          <w:spacing w:val="2"/>
          <w:sz w:val="32"/>
          <w:szCs w:val="32"/>
          <w:lang w:eastAsia="zh-CN"/>
        </w:rPr>
        <w:t>社会保障</w:t>
      </w:r>
      <w:r>
        <w:rPr>
          <w:rFonts w:hint="eastAsia" w:ascii="仿宋_GB2312" w:eastAsia="仿宋_GB2312"/>
          <w:spacing w:val="2"/>
          <w:sz w:val="32"/>
          <w:szCs w:val="32"/>
        </w:rPr>
        <w:t>制度改革，稳步提高待遇水平，加强基金监管，织密织牢社会保障安全网。</w:t>
      </w:r>
      <w:r>
        <w:rPr>
          <w:rFonts w:hint="eastAsia" w:ascii="仿宋_GB2312" w:eastAsia="仿宋_GB2312"/>
          <w:spacing w:val="2"/>
          <w:sz w:val="32"/>
          <w:szCs w:val="32"/>
          <w:lang w:eastAsia="zh-CN"/>
        </w:rPr>
        <w:t>持续推进养老保险制度改革；强化养老保险政策执行规范统一；</w:t>
      </w:r>
      <w:r>
        <w:rPr>
          <w:rFonts w:ascii="仿宋_GB2312" w:eastAsia="仿宋_GB2312" w:cs="仿宋_GB2312"/>
          <w:sz w:val="32"/>
          <w:szCs w:val="32"/>
        </w:rPr>
        <w:t>完善失业保险制度</w:t>
      </w:r>
      <w:r>
        <w:rPr>
          <w:rFonts w:hint="eastAsia" w:ascii="仿宋_GB2312" w:eastAsia="仿宋_GB2312" w:cs="仿宋_GB2312"/>
          <w:sz w:val="32"/>
          <w:szCs w:val="32"/>
          <w:lang w:eastAsia="zh-CN"/>
        </w:rPr>
        <w:t>；</w:t>
      </w:r>
      <w:r>
        <w:rPr>
          <w:rFonts w:ascii="仿宋_GB2312" w:hAnsi="仿宋_GB2312" w:eastAsia="仿宋_GB2312" w:cs="仿宋_GB2312"/>
          <w:sz w:val="32"/>
          <w:szCs w:val="32"/>
          <w:lang w:eastAsia="zh-CN"/>
        </w:rPr>
        <w:t>持续深化工伤保险改革试点</w:t>
      </w:r>
      <w:r>
        <w:rPr>
          <w:rFonts w:hint="eastAsia" w:ascii="仿宋_GB2312" w:hAnsi="仿宋_GB2312" w:eastAsia="仿宋_GB2312" w:cs="仿宋_GB2312"/>
          <w:sz w:val="32"/>
          <w:szCs w:val="32"/>
          <w:lang w:eastAsia="zh-CN"/>
        </w:rPr>
        <w:t>；延续实施</w:t>
      </w:r>
      <w:r>
        <w:rPr>
          <w:rFonts w:hint="eastAsia" w:ascii="仿宋_GB2312" w:hAnsi="仿宋_GB2312" w:eastAsia="仿宋_GB2312" w:cs="仿宋_GB2312"/>
          <w:sz w:val="32"/>
          <w:szCs w:val="32"/>
        </w:rPr>
        <w:t>阶段性降低工伤保险费率政策</w:t>
      </w:r>
      <w:r>
        <w:rPr>
          <w:rFonts w:hint="eastAsia" w:ascii="仿宋_GB2312" w:hAnsi="仿宋_GB2312" w:eastAsia="仿宋_GB2312" w:cs="仿宋_GB2312"/>
          <w:sz w:val="32"/>
          <w:szCs w:val="32"/>
          <w:lang w:eastAsia="zh-CN"/>
        </w:rPr>
        <w:t>；</w:t>
      </w:r>
      <w:r>
        <w:rPr>
          <w:rFonts w:ascii="仿宋_GB2312" w:eastAsia="仿宋_GB2312" w:cs="仿宋_GB2312"/>
          <w:sz w:val="32"/>
          <w:szCs w:val="32"/>
        </w:rPr>
        <w:t>优化提升社保经办服务</w:t>
      </w:r>
      <w:r>
        <w:rPr>
          <w:rFonts w:hint="eastAsia" w:ascii="仿宋_GB2312" w:eastAsia="仿宋_GB2312" w:cs="仿宋_GB2312"/>
          <w:sz w:val="32"/>
          <w:szCs w:val="32"/>
          <w:lang w:eastAsia="zh-CN"/>
        </w:rPr>
        <w:t>；</w:t>
      </w:r>
      <w:r>
        <w:rPr>
          <w:rFonts w:hint="eastAsia" w:ascii="仿宋_GB2312" w:eastAsia="仿宋_GB2312" w:cs="仿宋_GB2312"/>
          <w:sz w:val="32"/>
          <w:szCs w:val="32"/>
        </w:rPr>
        <w:t>筑牢社保基金安全防线。</w:t>
      </w:r>
    </w:p>
    <w:p>
      <w:pPr>
        <w:spacing w:line="576" w:lineRule="exact"/>
        <w:ind w:firstLine="640"/>
        <w:rPr>
          <w:rFonts w:ascii="仿宋_GB2312" w:eastAsia="仿宋_GB2312" w:cs="仿宋_GB2312"/>
          <w:bCs/>
          <w:sz w:val="32"/>
          <w:szCs w:val="32"/>
        </w:rPr>
      </w:pPr>
      <w:r>
        <w:rPr>
          <w:rFonts w:hint="eastAsia" w:ascii="仿宋_GB2312" w:eastAsia="仿宋_GB2312" w:cs="仿宋_GB2312"/>
          <w:sz w:val="32"/>
          <w:szCs w:val="32"/>
          <w:lang w:val="en-US" w:eastAsia="zh-CN"/>
        </w:rPr>
        <w:t>3.</w:t>
      </w:r>
      <w:r>
        <w:rPr>
          <w:rFonts w:ascii="仿宋_GB2312" w:eastAsia="仿宋_GB2312" w:cs="仿宋_GB2312"/>
          <w:sz w:val="32"/>
          <w:szCs w:val="32"/>
        </w:rPr>
        <w:t>大力推进</w:t>
      </w:r>
      <w:r>
        <w:rPr>
          <w:rFonts w:hint="eastAsia" w:ascii="仿宋_GB2312" w:eastAsia="仿宋_GB2312" w:cs="仿宋_GB2312"/>
          <w:sz w:val="32"/>
          <w:szCs w:val="32"/>
        </w:rPr>
        <w:t>人才人事工作</w:t>
      </w:r>
      <w:r>
        <w:rPr>
          <w:rFonts w:hint="eastAsia" w:ascii="仿宋_GB2312" w:eastAsia="仿宋_GB2312" w:cs="仿宋_GB2312"/>
          <w:sz w:val="32"/>
          <w:szCs w:val="32"/>
          <w:lang w:eastAsia="zh-CN"/>
        </w:rPr>
        <w:t>。</w:t>
      </w:r>
      <w:r>
        <w:rPr>
          <w:rFonts w:ascii="仿宋_GB2312" w:eastAsia="仿宋_GB2312" w:cs="仿宋_GB2312"/>
          <w:sz w:val="32"/>
          <w:szCs w:val="32"/>
        </w:rPr>
        <w:t>坚持以创新、贯通、向基层倾斜为导向，积极推进技术技能人才贯通发展，大力实施技术技能人才倍增计划，鼓励人才向基层流动，</w:t>
      </w:r>
      <w:r>
        <w:rPr>
          <w:rFonts w:hint="eastAsia" w:ascii="仿宋_GB2312" w:eastAsia="仿宋_GB2312" w:cs="仿宋_GB2312"/>
          <w:bCs/>
          <w:sz w:val="32"/>
          <w:szCs w:val="32"/>
        </w:rPr>
        <w:t>为广元现代化建设提供强力人才人事支撑。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ascii="仿宋_GB2312" w:hAnsi="Times New Roman" w:eastAsia="仿宋_GB2312" w:cs="仿宋_GB2312"/>
          <w:sz w:val="32"/>
          <w:szCs w:val="32"/>
          <w:lang w:val="en-US" w:eastAsia="zh-CN"/>
        </w:rPr>
        <w:t>加强</w:t>
      </w:r>
      <w:r>
        <w:rPr>
          <w:rFonts w:hint="eastAsia" w:ascii="仿宋_GB2312" w:hAnsi="Times New Roman" w:eastAsia="仿宋_GB2312" w:cs="仿宋_GB2312"/>
          <w:sz w:val="32"/>
          <w:szCs w:val="32"/>
          <w:lang w:val="en-US" w:eastAsia="zh-CN"/>
        </w:rPr>
        <w:t>专业技术人才队伍建设；</w:t>
      </w:r>
      <w:r>
        <w:rPr>
          <w:rFonts w:hint="eastAsia" w:ascii="仿宋_GB2312" w:hAnsi="仿宋_GB2312" w:eastAsia="仿宋_GB2312" w:cs="仿宋_GB2312"/>
          <w:sz w:val="32"/>
          <w:szCs w:val="32"/>
        </w:rPr>
        <w:t>全面推进技能人才队伍建设</w:t>
      </w:r>
      <w:r>
        <w:rPr>
          <w:rFonts w:hint="eastAsia" w:ascii="仿宋_GB2312" w:hAnsi="仿宋_GB2312" w:eastAsia="仿宋_GB2312" w:cs="仿宋_GB2312"/>
          <w:sz w:val="32"/>
          <w:szCs w:val="32"/>
          <w:lang w:eastAsia="zh-CN"/>
        </w:rPr>
        <w:t>；</w:t>
      </w:r>
      <w:r>
        <w:rPr>
          <w:rFonts w:ascii="仿宋_GB2312" w:eastAsia="仿宋_GB2312" w:cs="仿宋_GB2312"/>
          <w:sz w:val="32"/>
          <w:szCs w:val="32"/>
        </w:rPr>
        <w:t>深化事业单位人事制度改革</w:t>
      </w:r>
      <w:r>
        <w:rPr>
          <w:rFonts w:hint="eastAsia" w:ascii="仿宋_GB2312" w:eastAsia="仿宋_GB2312" w:cs="仿宋_GB2312"/>
          <w:sz w:val="32"/>
          <w:szCs w:val="32"/>
          <w:lang w:eastAsia="zh-CN"/>
        </w:rPr>
        <w:t>；</w:t>
      </w:r>
      <w:r>
        <w:rPr>
          <w:rFonts w:ascii="仿宋_GB2312" w:eastAsia="仿宋_GB2312" w:cs="仿宋_GB2312"/>
          <w:sz w:val="32"/>
          <w:szCs w:val="32"/>
        </w:rPr>
        <w:t>做好表彰奖励任免工作</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加强人事考试安全。</w:t>
      </w:r>
    </w:p>
    <w:p>
      <w:pPr>
        <w:spacing w:line="576" w:lineRule="exact"/>
        <w:ind w:firstLine="640"/>
        <w:rPr>
          <w:rFonts w:ascii="仿宋_GB2312" w:eastAsia="仿宋_GB2312" w:cs="仿宋_GB2312"/>
          <w:sz w:val="32"/>
          <w:szCs w:val="32"/>
        </w:rPr>
      </w:pPr>
      <w:r>
        <w:rPr>
          <w:rFonts w:hint="eastAsia" w:ascii="仿宋_GB2312" w:eastAsia="仿宋_GB2312"/>
          <w:spacing w:val="2"/>
          <w:sz w:val="32"/>
          <w:szCs w:val="32"/>
          <w:lang w:val="en-US" w:eastAsia="zh-CN"/>
        </w:rPr>
        <w:t>4.</w:t>
      </w:r>
      <w:r>
        <w:rPr>
          <w:rFonts w:hint="eastAsia" w:ascii="仿宋_GB2312" w:eastAsia="仿宋_GB2312"/>
          <w:spacing w:val="2"/>
          <w:sz w:val="32"/>
          <w:szCs w:val="32"/>
        </w:rPr>
        <w:t>提升劳动关系治理能力和治理水平。坚持</w:t>
      </w:r>
      <w:r>
        <w:rPr>
          <w:rFonts w:ascii="仿宋_GB2312" w:eastAsia="仿宋_GB2312"/>
          <w:spacing w:val="2"/>
          <w:sz w:val="32"/>
          <w:szCs w:val="32"/>
        </w:rPr>
        <w:t>依法治理、</w:t>
      </w:r>
      <w:r>
        <w:rPr>
          <w:rFonts w:hint="eastAsia" w:ascii="仿宋_GB2312" w:eastAsia="仿宋_GB2312"/>
          <w:spacing w:val="2"/>
          <w:sz w:val="32"/>
          <w:szCs w:val="32"/>
        </w:rPr>
        <w:t>源头治理</w:t>
      </w:r>
      <w:r>
        <w:rPr>
          <w:rFonts w:ascii="仿宋_GB2312" w:eastAsia="仿宋_GB2312"/>
          <w:spacing w:val="2"/>
          <w:sz w:val="32"/>
          <w:szCs w:val="32"/>
        </w:rPr>
        <w:t>、系统治理</w:t>
      </w:r>
      <w:r>
        <w:rPr>
          <w:rFonts w:hint="eastAsia" w:ascii="仿宋_GB2312" w:eastAsia="仿宋_GB2312"/>
          <w:spacing w:val="2"/>
          <w:sz w:val="32"/>
          <w:szCs w:val="32"/>
        </w:rPr>
        <w:t>，</w:t>
      </w:r>
      <w:r>
        <w:rPr>
          <w:rFonts w:ascii="仿宋_GB2312" w:eastAsia="仿宋_GB2312"/>
          <w:spacing w:val="2"/>
          <w:sz w:val="32"/>
          <w:szCs w:val="32"/>
        </w:rPr>
        <w:t>统筹促进企业发展和维护劳动者合法权益的关系，</w:t>
      </w:r>
      <w:r>
        <w:rPr>
          <w:rFonts w:hint="eastAsia" w:ascii="仿宋_GB2312" w:eastAsia="仿宋_GB2312"/>
          <w:spacing w:val="2"/>
          <w:sz w:val="32"/>
          <w:szCs w:val="32"/>
        </w:rPr>
        <w:t>着力提升劳动关系基层治理能力和水平，防范化解劳动关系领域风险，维护劳动者权益。</w:t>
      </w:r>
      <w:r>
        <w:rPr>
          <w:rFonts w:ascii="仿宋_GB2312" w:eastAsia="仿宋_GB2312" w:cs="仿宋_GB2312"/>
          <w:sz w:val="32"/>
          <w:szCs w:val="32"/>
        </w:rPr>
        <w:t>保障农民工工资支付</w:t>
      </w:r>
      <w:r>
        <w:rPr>
          <w:rFonts w:hint="eastAsia" w:ascii="仿宋_GB2312" w:eastAsia="仿宋_GB2312" w:cs="仿宋_GB2312"/>
          <w:sz w:val="32"/>
          <w:szCs w:val="32"/>
          <w:lang w:eastAsia="zh-CN"/>
        </w:rPr>
        <w:t>；</w:t>
      </w:r>
      <w:r>
        <w:rPr>
          <w:rFonts w:hint="eastAsia" w:ascii="仿宋_GB2312" w:eastAsia="仿宋_GB2312" w:cs="仿宋_GB2312"/>
          <w:bCs/>
          <w:sz w:val="32"/>
          <w:szCs w:val="32"/>
          <w:lang w:eastAsia="zh-CN"/>
        </w:rPr>
        <w:t>构建和谐劳动关系；</w:t>
      </w:r>
      <w:r>
        <w:rPr>
          <w:rFonts w:ascii="仿宋_GB2312" w:eastAsia="仿宋_GB2312" w:cs="仿宋_GB2312"/>
          <w:sz w:val="32"/>
          <w:szCs w:val="32"/>
        </w:rPr>
        <w:t>提升劳动人事争议调解成效。</w:t>
      </w:r>
    </w:p>
    <w:p>
      <w:pPr>
        <w:spacing w:line="576" w:lineRule="exact"/>
        <w:ind w:firstLine="640"/>
        <w:rPr>
          <w:rFonts w:hint="eastAsia" w:ascii="仿宋_GB2312" w:eastAsia="仿宋_GB2312"/>
          <w:sz w:val="32"/>
          <w:szCs w:val="32"/>
        </w:rPr>
      </w:pPr>
      <w:r>
        <w:rPr>
          <w:rFonts w:hint="eastAsia" w:ascii="仿宋_GB2312" w:eastAsia="仿宋_GB2312" w:cs="仿宋_GB2312"/>
          <w:bCs/>
          <w:sz w:val="32"/>
          <w:szCs w:val="32"/>
          <w:lang w:val="en-US" w:eastAsia="zh-CN"/>
        </w:rPr>
        <w:t>5.</w:t>
      </w:r>
      <w:r>
        <w:rPr>
          <w:rFonts w:hint="eastAsia" w:ascii="仿宋_GB2312" w:eastAsia="仿宋_GB2312" w:cs="仿宋_GB2312"/>
          <w:bCs/>
          <w:sz w:val="32"/>
          <w:szCs w:val="32"/>
          <w:lang w:eastAsia="zh-CN"/>
        </w:rPr>
        <w:t>持续深化“温暖人社”建设。</w:t>
      </w:r>
      <w:r>
        <w:rPr>
          <w:rFonts w:hint="eastAsia" w:ascii="仿宋_GB2312" w:eastAsia="仿宋_GB2312" w:cs="仿宋_GB2312"/>
          <w:sz w:val="32"/>
          <w:szCs w:val="32"/>
        </w:rPr>
        <w:t>加快打造营商环境最优、服务体系最佳、经办团队最强、信息保障最畅、社会评价最好的“五最温暖人社”，</w:t>
      </w:r>
      <w:r>
        <w:rPr>
          <w:rFonts w:ascii="仿宋_GB2312" w:eastAsia="仿宋_GB2312" w:cs="仿宋_GB2312"/>
          <w:sz w:val="32"/>
          <w:szCs w:val="32"/>
        </w:rPr>
        <w:t>不断提升企业群众获得感幸福感满意度。</w:t>
      </w:r>
      <w:r>
        <w:rPr>
          <w:rFonts w:hint="eastAsia" w:ascii="仿宋_GB2312" w:eastAsia="仿宋_GB2312" w:cs="仿宋_GB2312"/>
          <w:sz w:val="32"/>
          <w:szCs w:val="32"/>
        </w:rPr>
        <w:t>实施人社公共服务标准化建设</w:t>
      </w:r>
      <w:r>
        <w:rPr>
          <w:rFonts w:hint="eastAsia" w:ascii="仿宋_GB2312" w:eastAsia="仿宋_GB2312" w:cs="仿宋_GB2312"/>
          <w:sz w:val="32"/>
          <w:szCs w:val="32"/>
          <w:lang w:eastAsia="zh-CN"/>
        </w:rPr>
        <w:t>，</w:t>
      </w:r>
      <w:r>
        <w:rPr>
          <w:rFonts w:hint="eastAsia" w:ascii="仿宋_GB2312" w:eastAsia="仿宋_GB2312" w:cs="仿宋_GB2312"/>
          <w:sz w:val="32"/>
          <w:szCs w:val="32"/>
        </w:rPr>
        <w:t>强化标准实施监督评价，确保标准落地见效。实施</w:t>
      </w:r>
      <w:r>
        <w:rPr>
          <w:rFonts w:ascii="仿宋_GB2312" w:eastAsia="仿宋_GB2312" w:cs="仿宋_GB2312"/>
          <w:sz w:val="32"/>
          <w:szCs w:val="32"/>
        </w:rPr>
        <w:t>人社</w:t>
      </w:r>
      <w:r>
        <w:rPr>
          <w:rFonts w:hint="eastAsia" w:ascii="仿宋_GB2312" w:eastAsia="仿宋_GB2312" w:cs="仿宋_GB2312"/>
          <w:sz w:val="32"/>
          <w:szCs w:val="32"/>
        </w:rPr>
        <w:t>数</w:t>
      </w:r>
      <w:r>
        <w:rPr>
          <w:rFonts w:ascii="仿宋_GB2312" w:eastAsia="仿宋_GB2312" w:cs="仿宋_GB2312"/>
          <w:sz w:val="32"/>
          <w:szCs w:val="32"/>
        </w:rPr>
        <w:t>化</w:t>
      </w:r>
      <w:r>
        <w:rPr>
          <w:rFonts w:hint="eastAsia" w:ascii="仿宋_GB2312" w:eastAsia="仿宋_GB2312" w:cs="仿宋_GB2312"/>
          <w:sz w:val="32"/>
          <w:szCs w:val="32"/>
        </w:rPr>
        <w:t>字转型</w:t>
      </w:r>
      <w:r>
        <w:rPr>
          <w:rFonts w:hint="eastAsia" w:ascii="仿宋_GB2312" w:eastAsia="仿宋_GB2312" w:cs="仿宋_GB2312"/>
          <w:sz w:val="32"/>
          <w:szCs w:val="32"/>
          <w:lang w:eastAsia="zh-CN"/>
        </w:rPr>
        <w:t>，</w:t>
      </w:r>
      <w:r>
        <w:rPr>
          <w:rFonts w:hint="eastAsia" w:ascii="仿宋_GB2312" w:hAnsi="楷体" w:eastAsia="仿宋_GB2312" w:cs="仿宋_GB2312"/>
          <w:sz w:val="32"/>
          <w:szCs w:val="32"/>
        </w:rPr>
        <w:t>夯实业务一体化经办基础</w:t>
      </w:r>
      <w:r>
        <w:rPr>
          <w:rFonts w:hint="eastAsia" w:ascii="仿宋_GB2312" w:hAnsi="楷体" w:eastAsia="仿宋_GB2312" w:cs="仿宋_GB2312"/>
          <w:sz w:val="32"/>
          <w:szCs w:val="32"/>
          <w:lang w:eastAsia="zh-CN"/>
        </w:rPr>
        <w:t>；</w:t>
      </w:r>
      <w:r>
        <w:rPr>
          <w:rFonts w:hint="eastAsia" w:ascii="仿宋_GB2312" w:eastAsia="仿宋_GB2312" w:cs="仿宋_GB2312"/>
          <w:sz w:val="32"/>
          <w:szCs w:val="32"/>
        </w:rPr>
        <w:t>实施专业提能</w:t>
      </w:r>
      <w:r>
        <w:rPr>
          <w:rFonts w:ascii="仿宋_GB2312" w:eastAsia="仿宋_GB2312" w:cs="仿宋_GB2312"/>
          <w:sz w:val="32"/>
          <w:szCs w:val="32"/>
        </w:rPr>
        <w:t>行动</w:t>
      </w:r>
      <w:r>
        <w:rPr>
          <w:rFonts w:hint="eastAsia" w:ascii="仿宋_GB2312" w:eastAsia="仿宋_GB2312" w:cs="仿宋_GB2312"/>
          <w:sz w:val="32"/>
          <w:szCs w:val="32"/>
          <w:lang w:eastAsia="zh-CN"/>
        </w:rPr>
        <w:t>。</w:t>
      </w:r>
      <w:r>
        <w:rPr>
          <w:rFonts w:hint="eastAsia" w:ascii="仿宋_GB2312" w:hAnsi="仿宋" w:eastAsia="仿宋_GB2312" w:cs="仿宋"/>
          <w:spacing w:val="0"/>
          <w:sz w:val="32"/>
          <w:szCs w:val="32"/>
          <w:highlight w:val="none"/>
          <w:lang w:val="en-US" w:eastAsia="zh-CN"/>
        </w:rPr>
        <w:t>持续加强系统</w:t>
      </w:r>
      <w:r>
        <w:rPr>
          <w:rFonts w:hint="eastAsia" w:ascii="仿宋_GB2312" w:hAnsi="Times New Roman" w:eastAsia="仿宋_GB2312" w:cs="Times New Roman"/>
          <w:spacing w:val="0"/>
          <w:sz w:val="32"/>
          <w:szCs w:val="32"/>
          <w:lang w:val="en-US" w:eastAsia="zh-CN"/>
        </w:rPr>
        <w:t>行风建设，</w:t>
      </w:r>
      <w:r>
        <w:rPr>
          <w:rFonts w:hint="eastAsia" w:ascii="Times New Roman" w:hAnsi="Times New Roman" w:eastAsia="仿宋_GB2312" w:cs="Times New Roman"/>
          <w:sz w:val="32"/>
          <w:szCs w:val="32"/>
          <w:lang w:val="en-US" w:eastAsia="zh-CN"/>
        </w:rPr>
        <w:t>进一步优化干部考核机制</w:t>
      </w:r>
      <w:r>
        <w:rPr>
          <w:rFonts w:ascii="Times New Roman" w:hAnsi="Times New Roman" w:eastAsia="仿宋_GB2312" w:cs="Times New Roman"/>
          <w:sz w:val="32"/>
          <w:szCs w:val="32"/>
          <w:lang w:val="en-US" w:eastAsia="zh-CN"/>
        </w:rPr>
        <w:t>，</w:t>
      </w:r>
      <w:r>
        <w:rPr>
          <w:rFonts w:hint="eastAsia" w:ascii="仿宋_GB2312" w:hAnsi="仿宋" w:eastAsia="仿宋_GB2312" w:cs="仿宋"/>
          <w:spacing w:val="0"/>
          <w:sz w:val="32"/>
          <w:szCs w:val="32"/>
          <w:highlight w:val="none"/>
          <w:lang w:val="en-US" w:eastAsia="zh-CN"/>
        </w:rPr>
        <w:t>加大干部培训力度，建立全面系统的干部教育培训机制，不断提高人社干部队伍业务能力。持续</w:t>
      </w:r>
      <w:r>
        <w:rPr>
          <w:rFonts w:ascii="仿宋_GB2312" w:eastAsia="仿宋_GB2312" w:cs="仿宋_GB2312"/>
          <w:sz w:val="32"/>
          <w:szCs w:val="32"/>
        </w:rPr>
        <w:t>优化人社营商环境</w:t>
      </w:r>
      <w:r>
        <w:rPr>
          <w:rFonts w:hint="eastAsia" w:ascii="仿宋_GB2312" w:eastAsia="仿宋_GB2312"/>
          <w:sz w:val="32"/>
          <w:szCs w:val="32"/>
          <w:lang w:eastAsia="zh-CN"/>
        </w:rPr>
        <w:t>，</w:t>
      </w:r>
      <w:r>
        <w:rPr>
          <w:rFonts w:hint="eastAsia" w:ascii="仿宋_GB2312" w:eastAsia="仿宋_GB2312"/>
          <w:sz w:val="32"/>
          <w:szCs w:val="32"/>
          <w:lang w:val="en-US" w:eastAsia="zh-CN"/>
        </w:rPr>
        <w:t>推动人社营商环境满意度评价稳步提升。</w:t>
      </w:r>
    </w:p>
    <w:p>
      <w:pPr>
        <w:spacing w:line="576" w:lineRule="exact"/>
        <w:ind w:firstLine="640"/>
        <w:rPr>
          <w:rFonts w:hint="eastAsia" w:ascii="仿宋_GB2312" w:eastAsia="仿宋_GB2312"/>
          <w:sz w:val="32"/>
          <w:szCs w:val="32"/>
        </w:rPr>
      </w:pPr>
      <w:r>
        <w:rPr>
          <w:rFonts w:hint="eastAsia" w:eastAsia="仿宋_GB2312"/>
          <w:sz w:val="32"/>
          <w:szCs w:val="32"/>
          <w:lang w:val="en-US" w:eastAsia="zh-CN"/>
        </w:rPr>
        <w:t>6.</w:t>
      </w:r>
      <w:r>
        <w:rPr>
          <w:rFonts w:eastAsia="仿宋_GB2312"/>
          <w:sz w:val="32"/>
          <w:szCs w:val="32"/>
        </w:rPr>
        <w:t>优化促进</w:t>
      </w:r>
      <w:r>
        <w:rPr>
          <w:rFonts w:hint="eastAsia" w:eastAsia="仿宋_GB2312"/>
          <w:sz w:val="32"/>
          <w:szCs w:val="32"/>
        </w:rPr>
        <w:t>收入分配</w:t>
      </w:r>
      <w:r>
        <w:rPr>
          <w:rFonts w:eastAsia="仿宋_GB2312"/>
          <w:sz w:val="32"/>
          <w:szCs w:val="32"/>
        </w:rPr>
        <w:t>制度改革</w:t>
      </w:r>
      <w:r>
        <w:rPr>
          <w:rFonts w:hint="eastAsia" w:eastAsia="仿宋_GB2312"/>
          <w:sz w:val="32"/>
          <w:szCs w:val="32"/>
          <w:lang w:eastAsia="zh-CN"/>
        </w:rPr>
        <w:t>。稳</w:t>
      </w:r>
      <w:r>
        <w:rPr>
          <w:rFonts w:hint="eastAsia" w:ascii="仿宋_GB2312" w:eastAsia="仿宋_GB2312"/>
          <w:bCs/>
          <w:sz w:val="32"/>
          <w:szCs w:val="32"/>
          <w:lang w:eastAsia="zh-CN"/>
        </w:rPr>
        <w:t>步推进收入分配制度改革，增加城乡居民收入、扩大中等收入群体，让群众共享改革发展成果。</w:t>
      </w:r>
      <w:r>
        <w:rPr>
          <w:rFonts w:hint="eastAsia" w:ascii="仿宋_GB2312" w:eastAsia="仿宋_GB2312"/>
          <w:bCs/>
          <w:sz w:val="32"/>
          <w:szCs w:val="32"/>
        </w:rPr>
        <w:t>促进城镇居民人均可支配收入增长</w:t>
      </w:r>
      <w:r>
        <w:rPr>
          <w:rFonts w:hint="eastAsia" w:ascii="仿宋_GB2312" w:eastAsia="仿宋_GB2312"/>
          <w:bCs/>
          <w:sz w:val="32"/>
          <w:szCs w:val="32"/>
          <w:lang w:eastAsia="zh-CN"/>
        </w:rPr>
        <w:t>；落实企业工资收入分配制度；</w:t>
      </w:r>
      <w:r>
        <w:rPr>
          <w:rFonts w:hint="eastAsia" w:eastAsia="仿宋_GB2312"/>
          <w:sz w:val="32"/>
          <w:szCs w:val="32"/>
        </w:rPr>
        <w:t>加强</w:t>
      </w:r>
      <w:r>
        <w:rPr>
          <w:rFonts w:eastAsia="仿宋_GB2312"/>
          <w:sz w:val="32"/>
          <w:szCs w:val="32"/>
        </w:rPr>
        <w:t>薪酬调控指导</w:t>
      </w:r>
      <w:r>
        <w:rPr>
          <w:rFonts w:hint="eastAsia" w:eastAsia="仿宋_GB2312"/>
          <w:sz w:val="32"/>
          <w:szCs w:val="32"/>
          <w:lang w:eastAsia="zh-CN"/>
        </w:rPr>
        <w:t>；</w:t>
      </w:r>
      <w:r>
        <w:rPr>
          <w:rFonts w:hint="eastAsia" w:ascii="仿宋_GB2312" w:hAnsi="仿宋_GB2312" w:eastAsia="仿宋_GB2312" w:cs="仿宋_GB2312"/>
          <w:bCs/>
          <w:sz w:val="32"/>
          <w:szCs w:val="32"/>
        </w:rPr>
        <w:t>完善事业单位收入分配制度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加强工资政策执行情况监管，完善与市级相关部门的工作协同机制，大力推进事业单位工资数据管理应用，</w:t>
      </w:r>
      <w:r>
        <w:rPr>
          <w:rFonts w:hint="eastAsia" w:ascii="仿宋_GB2312" w:eastAsia="仿宋_GB2312"/>
          <w:sz w:val="32"/>
          <w:szCs w:val="32"/>
        </w:rPr>
        <w:t>不断</w:t>
      </w:r>
      <w:r>
        <w:rPr>
          <w:rFonts w:hint="eastAsia" w:ascii="仿宋_GB2312" w:eastAsia="仿宋_GB2312"/>
          <w:sz w:val="32"/>
          <w:szCs w:val="32"/>
          <w:lang w:eastAsia="zh-CN"/>
        </w:rPr>
        <w:t>提升</w:t>
      </w:r>
      <w:r>
        <w:rPr>
          <w:rFonts w:hint="eastAsia" w:ascii="仿宋_GB2312" w:eastAsia="仿宋_GB2312"/>
          <w:sz w:val="32"/>
          <w:szCs w:val="32"/>
        </w:rPr>
        <w:t>事业单位工资业务经办规范化水平。做好服务业相关行业工资总额统计监测工作。</w:t>
      </w:r>
    </w:p>
    <w:p>
      <w:pPr>
        <w:spacing w:line="576" w:lineRule="exact"/>
        <w:ind w:firstLine="640"/>
        <w:rPr>
          <w:rFonts w:ascii="仿宋_GB2312" w:eastAsia="仿宋_GB2312" w:cs="仿宋_GB2312"/>
          <w:sz w:val="32"/>
          <w:szCs w:val="32"/>
        </w:rPr>
      </w:pP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做好农民工服务保障</w:t>
      </w:r>
      <w:r>
        <w:rPr>
          <w:rFonts w:hint="eastAsia" w:ascii="仿宋_GB2312" w:eastAsia="仿宋_GB2312" w:cs="仿宋_GB2312"/>
          <w:sz w:val="32"/>
          <w:szCs w:val="32"/>
          <w:lang w:eastAsia="zh-CN"/>
        </w:rPr>
        <w:t>。</w:t>
      </w:r>
      <w:r>
        <w:rPr>
          <w:rFonts w:ascii="仿宋_GB2312" w:eastAsia="仿宋_GB2312" w:cs="仿宋_GB2312"/>
          <w:sz w:val="32"/>
          <w:szCs w:val="32"/>
        </w:rPr>
        <w:t>强化农民工全过程、精细化服务保障，着力稳就业、兴创业、提技能、强保障、促融入，促进农民工高质量充分就业。全年回引返乡创业3000人，农民工转移就业稳定在95万人，实现劳务收入350亿元。大力促进农民工返乡就业创业</w:t>
      </w:r>
      <w:r>
        <w:rPr>
          <w:rFonts w:hint="eastAsia" w:ascii="仿宋_GB2312" w:eastAsia="仿宋_GB2312" w:cs="仿宋_GB2312"/>
          <w:sz w:val="32"/>
          <w:szCs w:val="32"/>
          <w:lang w:eastAsia="zh-CN"/>
        </w:rPr>
        <w:t>；</w:t>
      </w:r>
      <w:r>
        <w:rPr>
          <w:rFonts w:ascii="仿宋_GB2312" w:eastAsia="仿宋_GB2312" w:cs="仿宋_GB2312"/>
          <w:sz w:val="32"/>
          <w:szCs w:val="32"/>
        </w:rPr>
        <w:t>开展县域农民工市民化质量提升行动</w:t>
      </w:r>
      <w:r>
        <w:rPr>
          <w:rFonts w:hint="eastAsia" w:ascii="仿宋_GB2312" w:eastAsia="仿宋_GB2312" w:cs="仿宋_GB2312"/>
          <w:sz w:val="32"/>
          <w:szCs w:val="32"/>
          <w:lang w:eastAsia="zh-CN"/>
        </w:rPr>
        <w:t>；</w:t>
      </w:r>
      <w:r>
        <w:rPr>
          <w:rFonts w:ascii="仿宋_GB2312" w:eastAsia="仿宋_GB2312" w:cs="仿宋_GB2312"/>
          <w:sz w:val="32"/>
          <w:szCs w:val="32"/>
        </w:rPr>
        <w:t>全面发力乡村振兴人社帮扶。</w:t>
      </w:r>
    </w:p>
    <w:p>
      <w:pPr>
        <w:spacing w:line="576" w:lineRule="exact"/>
        <w:ind w:firstLine="640"/>
        <w:rPr>
          <w:rFonts w:ascii="仿宋_GB2312" w:eastAsia="仿宋_GB2312" w:cs="仿宋_GB2312"/>
          <w:sz w:val="32"/>
          <w:szCs w:val="32"/>
        </w:rPr>
      </w:pP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统筹抓好综合性基础工作</w:t>
      </w:r>
      <w:r>
        <w:rPr>
          <w:rFonts w:hint="eastAsia" w:ascii="仿宋_GB2312" w:eastAsia="仿宋_GB2312" w:cs="仿宋_GB2312"/>
          <w:sz w:val="32"/>
          <w:szCs w:val="32"/>
          <w:lang w:eastAsia="zh-CN"/>
        </w:rPr>
        <w:t>。</w:t>
      </w:r>
      <w:r>
        <w:rPr>
          <w:rFonts w:ascii="仿宋_GB2312" w:eastAsia="仿宋_GB2312" w:cs="仿宋_GB2312"/>
          <w:sz w:val="32"/>
          <w:szCs w:val="32"/>
        </w:rPr>
        <w:t>深入推进人社法治建设，持续巩固法治人社示范创建成果，严格依法行政，进一步规范行政执法、加强行政争议处理和执法监督，做好重大行政决策事项合法性审查和规范性文件管理。统筹实施人社普法教育、行政执法人员培训、国家工作人员学法考法、市公民法治素养提升等工作。高质量开展人社重大课题调查研究和推进深化改革工作。</w:t>
      </w:r>
      <w:r>
        <w:rPr>
          <w:rFonts w:hint="eastAsia" w:ascii="仿宋_GB2312" w:eastAsia="仿宋_GB2312"/>
          <w:spacing w:val="2"/>
          <w:sz w:val="32"/>
          <w:szCs w:val="32"/>
        </w:rPr>
        <w:t>深化人社区域合作</w:t>
      </w:r>
      <w:r>
        <w:rPr>
          <w:rFonts w:ascii="仿宋_GB2312" w:eastAsia="仿宋_GB2312"/>
          <w:spacing w:val="2"/>
          <w:sz w:val="32"/>
          <w:szCs w:val="32"/>
        </w:rPr>
        <w:t>，</w:t>
      </w:r>
      <w:r>
        <w:rPr>
          <w:rFonts w:hint="eastAsia" w:ascii="仿宋_GB2312" w:eastAsia="仿宋_GB2312"/>
          <w:spacing w:val="2"/>
          <w:sz w:val="32"/>
          <w:szCs w:val="32"/>
        </w:rPr>
        <w:t>主动融入成渝地区双城经济圈建设，加强与重庆、成都、杭州、西安、陇南、绵阳等地人社合作，积极推进就业、社保、人才人事、劳动关系等重点领域政策协同、服务协同和数据共享。</w:t>
      </w:r>
      <w:r>
        <w:rPr>
          <w:rFonts w:ascii="仿宋_GB2312" w:eastAsia="仿宋_GB2312"/>
          <w:spacing w:val="2"/>
          <w:sz w:val="32"/>
          <w:szCs w:val="32"/>
        </w:rPr>
        <w:t>统筹做好</w:t>
      </w:r>
      <w:r>
        <w:rPr>
          <w:rFonts w:ascii="仿宋_GB2312" w:eastAsia="仿宋_GB2312" w:cs="仿宋_GB2312"/>
          <w:sz w:val="32"/>
          <w:szCs w:val="32"/>
        </w:rPr>
        <w:t>安全生产、信访维稳、国安保密和离退休干部工作，加强政务公开、新闻宣传，深入开展政策宣传解读，加大先进典型宣传，做好舆情应对处置等工作。</w:t>
      </w:r>
    </w:p>
    <w:p>
      <w:pPr>
        <w:spacing w:line="576" w:lineRule="exact"/>
        <w:ind w:firstLine="640"/>
        <w:rPr>
          <w:rFonts w:hint="eastAsia" w:ascii="楷体_GB2312" w:hAnsi="楷体_GB2312" w:eastAsia="楷体_GB2312" w:cs="楷体_GB2312"/>
          <w:sz w:val="32"/>
          <w:szCs w:val="32"/>
        </w:rPr>
      </w:pPr>
      <w:r>
        <w:rPr>
          <w:rFonts w:hint="eastAsia" w:ascii="仿宋_GB2312" w:hAnsi="仿宋_GB2312" w:eastAsia="仿宋_GB2312" w:cs="仿宋_GB2312"/>
          <w:color w:val="auto"/>
          <w:kern w:val="0"/>
          <w:sz w:val="32"/>
          <w:szCs w:val="32"/>
          <w:lang w:val="en-US" w:eastAsia="zh-CN" w:bidi="ar-SA"/>
        </w:rPr>
        <w:t>9.全面加强党的建设。巩固拓展主题教育成果</w:t>
      </w:r>
      <w:r>
        <w:rPr>
          <w:rFonts w:hint="eastAsia" w:ascii="仿宋_GB2312" w:hAnsi="仿宋_GB2312" w:eastAsia="仿宋_GB2312" w:cs="仿宋_GB2312"/>
          <w:bCs/>
          <w:kern w:val="0"/>
          <w:sz w:val="32"/>
          <w:szCs w:val="32"/>
          <w:lang w:bidi="ar-SA"/>
        </w:rPr>
        <w:t>。坚持不懈用习近平新时代中国特色社会主义思想凝心铸魂，</w:t>
      </w:r>
      <w:r>
        <w:rPr>
          <w:rFonts w:hint="eastAsia" w:ascii="仿宋_GB2312" w:hAnsi="仿宋_GB2312" w:eastAsia="仿宋_GB2312" w:cs="仿宋_GB2312"/>
          <w:kern w:val="0"/>
          <w:sz w:val="32"/>
          <w:szCs w:val="32"/>
          <w:lang w:bidi="ar-SA"/>
        </w:rPr>
        <w:t>坚持把政治建设摆在首位，强化党的全面领导，坚定以习近平新时代中国特色社会主义思想为指导，深入学习贯彻党的二十大精神和习近平总书记来川来广视察重要指示精神，不断提高理论指导实践能力和水平。压实意识形态工作责任制，牢牢把握意识形态工作领导权。</w:t>
      </w:r>
      <w:r>
        <w:rPr>
          <w:rFonts w:hint="eastAsia" w:ascii="仿宋_GB2312" w:hAnsi="仿宋_GB2312" w:eastAsia="仿宋_GB2312" w:cs="仿宋_GB2312"/>
          <w:bCs/>
          <w:kern w:val="0"/>
          <w:sz w:val="32"/>
          <w:szCs w:val="32"/>
          <w:lang w:bidi="ar-SA"/>
        </w:rPr>
        <w:t>加强基层党组织建设，</w:t>
      </w:r>
      <w:r>
        <w:rPr>
          <w:rFonts w:hint="eastAsia" w:ascii="仿宋_GB2312" w:hAnsi="仿宋_GB2312" w:eastAsia="仿宋_GB2312" w:cs="仿宋_GB2312"/>
          <w:kern w:val="0"/>
          <w:sz w:val="32"/>
          <w:szCs w:val="32"/>
          <w:lang w:bidi="ar-SA"/>
        </w:rPr>
        <w:t>创新组织生活载体和形式，全面提升党内政治生活质量。纵深推进行业党建，抓紧抓实“两个覆盖”，推动人社行业党建全面提档升级。</w:t>
      </w:r>
      <w:r>
        <w:rPr>
          <w:rFonts w:ascii="仿宋_GB2312" w:eastAsia="仿宋_GB2312" w:cs="仿宋_GB2312"/>
          <w:sz w:val="32"/>
          <w:szCs w:val="32"/>
        </w:rPr>
        <w:t>做好监督执纪工作</w:t>
      </w:r>
      <w:r>
        <w:rPr>
          <w:rFonts w:hint="eastAsia" w:ascii="仿宋_GB2312" w:eastAsia="仿宋_GB2312" w:cs="仿宋_GB2312"/>
          <w:sz w:val="32"/>
          <w:szCs w:val="32"/>
          <w:lang w:eastAsia="zh-CN"/>
        </w:rPr>
        <w:t>；</w:t>
      </w:r>
      <w:r>
        <w:rPr>
          <w:rFonts w:hint="eastAsia" w:ascii="CESI仿宋-GB2312" w:hAnsi="CESI仿宋-GB2312" w:eastAsia="CESI仿宋-GB2312" w:cs="CESI仿宋-GB2312"/>
          <w:bCs/>
          <w:color w:val="000000"/>
          <w:kern w:val="0"/>
          <w:sz w:val="32"/>
          <w:szCs w:val="32"/>
          <w:shd w:val="clear" w:color="auto" w:fill="FFFFFF"/>
          <w:lang w:bidi="ar-SA"/>
        </w:rPr>
        <w:t>加强干部队伍建设</w:t>
      </w:r>
      <w:r>
        <w:rPr>
          <w:rFonts w:hint="eastAsia" w:ascii="CESI仿宋-GB2312" w:hAnsi="CESI仿宋-GB2312" w:eastAsia="CESI仿宋-GB2312" w:cs="CESI仿宋-GB2312"/>
          <w:bCs/>
          <w:color w:val="000000"/>
          <w:kern w:val="0"/>
          <w:sz w:val="32"/>
          <w:szCs w:val="32"/>
          <w:shd w:val="clear" w:color="auto" w:fill="FFFFFF"/>
          <w:lang w:eastAsia="zh-CN" w:bidi="ar-SA"/>
        </w:rPr>
        <w:t>；</w:t>
      </w:r>
      <w:r>
        <w:rPr>
          <w:rFonts w:hint="eastAsia" w:ascii="CESI仿宋-GB2312" w:hAnsi="CESI仿宋-GB2312" w:eastAsia="CESI仿宋-GB2312" w:cs="CESI仿宋-GB2312"/>
          <w:color w:val="000000"/>
          <w:kern w:val="0"/>
          <w:sz w:val="32"/>
          <w:szCs w:val="32"/>
          <w:shd w:val="clear" w:color="auto" w:fill="FFFFFF"/>
          <w:lang w:bidi="ar-SA"/>
        </w:rPr>
        <w:t>持</w:t>
      </w:r>
      <w:r>
        <w:rPr>
          <w:rFonts w:hint="eastAsia" w:ascii="仿宋_GB2312" w:hAnsi="Times New Roman" w:eastAsia="仿宋_GB2312" w:cs="Times New Roman"/>
          <w:spacing w:val="0"/>
          <w:sz w:val="32"/>
          <w:szCs w:val="32"/>
          <w:lang w:eastAsia="zh-CN"/>
        </w:rPr>
        <w:t>续优化干部选任机制</w:t>
      </w:r>
      <w:r>
        <w:rPr>
          <w:rFonts w:ascii="仿宋_GB2312" w:hAnsi="Times New Roman" w:eastAsia="仿宋_GB2312" w:cs="Times New Roman"/>
          <w:spacing w:val="0"/>
          <w:sz w:val="32"/>
          <w:szCs w:val="32"/>
          <w:lang w:eastAsia="zh-CN"/>
        </w:rPr>
        <w:t>，</w:t>
      </w:r>
      <w:r>
        <w:rPr>
          <w:rFonts w:hint="eastAsia" w:ascii="仿宋_GB2312" w:hAnsi="宋体" w:eastAsia="仿宋_GB2312" w:cs="仿宋_GB2312"/>
          <w:color w:val="000000"/>
          <w:kern w:val="0"/>
          <w:sz w:val="32"/>
          <w:szCs w:val="32"/>
          <w:lang w:eastAsia="zh-CN"/>
        </w:rPr>
        <w:t>组织</w:t>
      </w:r>
      <w:r>
        <w:rPr>
          <w:rFonts w:hint="eastAsia" w:ascii="仿宋_GB2312" w:hAnsi="宋体" w:eastAsia="仿宋_GB2312" w:cs="仿宋_GB2312"/>
          <w:color w:val="000000"/>
          <w:kern w:val="0"/>
          <w:sz w:val="32"/>
          <w:szCs w:val="32"/>
        </w:rPr>
        <w:t>实施“干部争先提</w:t>
      </w:r>
      <w:r>
        <w:rPr>
          <w:rFonts w:hint="eastAsia" w:ascii="仿宋_GB2312" w:hAnsi="仿宋_GB2312" w:eastAsia="仿宋_GB2312" w:cs="仿宋_GB2312"/>
          <w:sz w:val="32"/>
          <w:szCs w:val="32"/>
        </w:rPr>
        <w:t>能”四大专项行动，</w:t>
      </w:r>
      <w:r>
        <w:rPr>
          <w:rFonts w:hint="eastAsia" w:ascii="仿宋_GB2312" w:eastAsia="仿宋_GB2312"/>
          <w:spacing w:val="0"/>
          <w:sz w:val="32"/>
          <w:szCs w:val="32"/>
          <w:lang w:val="en-US" w:eastAsia="zh-CN"/>
        </w:rPr>
        <w:t>结合</w:t>
      </w:r>
      <w:r>
        <w:rPr>
          <w:rFonts w:hint="eastAsia" w:ascii="仿宋_GB2312" w:eastAsia="仿宋_GB2312"/>
          <w:spacing w:val="0"/>
          <w:sz w:val="32"/>
          <w:szCs w:val="32"/>
        </w:rPr>
        <w:t>轮岗交流、上挂下派等方式</w:t>
      </w:r>
      <w:r>
        <w:rPr>
          <w:rFonts w:hint="eastAsia" w:ascii="仿宋_GB2312" w:eastAsia="仿宋_GB2312"/>
          <w:spacing w:val="0"/>
          <w:sz w:val="32"/>
          <w:szCs w:val="32"/>
          <w:lang w:eastAsia="zh-CN"/>
        </w:rPr>
        <w:t>，</w:t>
      </w:r>
      <w:r>
        <w:rPr>
          <w:rFonts w:hint="eastAsia" w:ascii="仿宋_GB2312" w:eastAsia="仿宋_GB2312"/>
          <w:spacing w:val="0"/>
          <w:sz w:val="32"/>
          <w:szCs w:val="32"/>
        </w:rPr>
        <w:t>合理调配工作力量，</w:t>
      </w:r>
      <w:r>
        <w:rPr>
          <w:rFonts w:hint="eastAsia" w:ascii="仿宋_GB2312" w:eastAsia="仿宋_GB2312"/>
          <w:spacing w:val="0"/>
          <w:sz w:val="32"/>
          <w:szCs w:val="32"/>
          <w:lang w:val="en-US" w:eastAsia="zh-CN"/>
        </w:rPr>
        <w:t>进一步</w:t>
      </w:r>
      <w:r>
        <w:rPr>
          <w:rFonts w:hint="eastAsia" w:ascii="仿宋_GB2312" w:eastAsia="仿宋_GB2312"/>
          <w:spacing w:val="0"/>
          <w:sz w:val="32"/>
          <w:szCs w:val="32"/>
        </w:rPr>
        <w:t>优化干部人才梯队</w:t>
      </w:r>
      <w:r>
        <w:rPr>
          <w:rFonts w:hint="eastAsia" w:ascii="仿宋_GB2312" w:eastAsia="仿宋_GB2312"/>
          <w:spacing w:val="0"/>
          <w:sz w:val="32"/>
          <w:szCs w:val="32"/>
          <w:lang w:eastAsia="zh-CN"/>
        </w:rPr>
        <w:t>。</w:t>
      </w:r>
      <w:r>
        <w:rPr>
          <w:rFonts w:hint="eastAsia" w:ascii="仿宋_GB2312" w:eastAsia="仿宋_GB2312"/>
          <w:spacing w:val="0"/>
          <w:sz w:val="32"/>
          <w:szCs w:val="32"/>
          <w:lang w:val="en-US" w:eastAsia="zh-CN"/>
        </w:rPr>
        <w:t>不断优化年轻干部结构</w:t>
      </w:r>
      <w:r>
        <w:rPr>
          <w:rFonts w:ascii="仿宋_GB2312" w:eastAsia="仿宋_GB2312"/>
          <w:spacing w:val="0"/>
          <w:sz w:val="32"/>
          <w:szCs w:val="32"/>
          <w:lang w:val="en-US" w:eastAsia="zh-CN"/>
        </w:rPr>
        <w:t>，</w:t>
      </w:r>
      <w:r>
        <w:rPr>
          <w:rFonts w:hint="eastAsia" w:ascii="Times New Roman" w:hAnsi="Times New Roman" w:eastAsia="仿宋_GB2312" w:cs="Times New Roman"/>
          <w:sz w:val="32"/>
          <w:szCs w:val="32"/>
          <w:lang w:val="en-US" w:eastAsia="zh-CN"/>
        </w:rPr>
        <w:t>有序实施年轻干部红色薪火工程，运用结对帮带、调研实践、轮岗交流体验等多种方式，建立后备干部“蓄水池”</w:t>
      </w:r>
      <w:r>
        <w:rPr>
          <w:rFonts w:hint="eastAsia" w:ascii="仿宋_GB2312" w:eastAsia="仿宋_GB2312"/>
          <w:spacing w:val="0"/>
          <w:sz w:val="32"/>
          <w:szCs w:val="32"/>
          <w:lang w:val="en-US" w:eastAsia="zh-CN"/>
        </w:rPr>
        <w:t>，探索建立动态调整的局系统科级后备干部库。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7" w:name="_Toc8590"/>
      <w:r>
        <w:rPr>
          <w:rFonts w:hint="eastAsia" w:ascii="黑体" w:hAnsi="黑体" w:eastAsia="黑体" w:cs="黑体"/>
          <w:sz w:val="32"/>
          <w:szCs w:val="32"/>
          <w:lang w:val="en-US" w:eastAsia="zh-CN"/>
        </w:rPr>
        <w:t>二、部门预算单位构成</w:t>
      </w:r>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 w:cs="仿宋_GB2312"/>
          <w:sz w:val="32"/>
          <w:szCs w:val="32"/>
          <w:lang w:val="en-US" w:eastAsia="zh-CN"/>
        </w:rPr>
      </w:pPr>
      <w:r>
        <w:rPr>
          <w:rFonts w:hint="eastAsia" w:ascii="仿宋_GB2312" w:hAnsi="仿宋_GB2312" w:eastAsia="仿宋_GB2312" w:cs="仿宋_GB2312"/>
          <w:sz w:val="32"/>
          <w:szCs w:val="32"/>
          <w:lang w:val="en-US" w:eastAsia="zh-CN"/>
        </w:rPr>
        <w:t>我单位为广元市人力资源和社会保障局的下属二级预算单位，本单位</w:t>
      </w:r>
      <w:r>
        <w:rPr>
          <w:rFonts w:hint="eastAsia" w:ascii="仿宋" w:hAnsi="仿宋" w:eastAsia="仿宋"/>
          <w:spacing w:val="-4"/>
          <w:sz w:val="32"/>
          <w:szCs w:val="32"/>
        </w:rPr>
        <w:t>下设非独立核算事业单位4个（广元市人力资源和社会保障信息中心、广元市人力资源和社会保障宣传中心、广元市人劳动能力鉴定服务中心、广元市人力资源培训中心）</w:t>
      </w:r>
      <w:r>
        <w:rPr>
          <w:rFonts w:hint="eastAsia" w:ascii="仿宋_GB2312" w:hAnsi="仿宋_GB2312" w:eastAsia="仿宋_GB2312" w:cs="仿宋_GB2312"/>
          <w:sz w:val="32"/>
          <w:szCs w:val="32"/>
          <w:lang w:val="en-US" w:eastAsia="zh-CN"/>
        </w:rPr>
        <w:t>；</w:t>
      </w:r>
      <w:r>
        <w:rPr>
          <w:rFonts w:hint="eastAsia" w:ascii="仿宋" w:hAnsi="仿宋" w:eastAsia="仿宋"/>
          <w:spacing w:val="-4"/>
          <w:sz w:val="32"/>
          <w:szCs w:val="32"/>
        </w:rPr>
        <w:t>内设机关党委</w:t>
      </w:r>
      <w:r>
        <w:rPr>
          <w:rFonts w:hint="eastAsia" w:ascii="仿宋" w:hAnsi="仿宋" w:eastAsia="仿宋"/>
          <w:spacing w:val="-4"/>
          <w:sz w:val="32"/>
          <w:szCs w:val="32"/>
          <w:lang w:eastAsia="zh-CN"/>
        </w:rPr>
        <w:t>、</w:t>
      </w:r>
      <w:r>
        <w:rPr>
          <w:rFonts w:hint="eastAsia" w:ascii="仿宋" w:hAnsi="仿宋" w:eastAsia="仿宋"/>
          <w:spacing w:val="-4"/>
          <w:sz w:val="32"/>
          <w:szCs w:val="32"/>
          <w:lang w:val="en-US" w:eastAsia="zh-CN"/>
        </w:rPr>
        <w:t>机关纪委</w:t>
      </w:r>
      <w:r>
        <w:rPr>
          <w:rFonts w:hint="eastAsia" w:ascii="仿宋" w:hAnsi="仿宋" w:eastAsia="仿宋"/>
          <w:spacing w:val="-4"/>
          <w:sz w:val="32"/>
          <w:szCs w:val="32"/>
        </w:rPr>
        <w:t>及21个科室（办公室、政策法规科、规划财务科、就业促进与失业保险科、人力资源流动科、职业能力建设科、专业技术人员管理科、事业单位人事管理科、工资福利科、农民工工作科、劳动关系科、</w:t>
      </w:r>
      <w:r>
        <w:rPr>
          <w:rFonts w:hint="eastAsia" w:ascii="仿宋_GB2312" w:eastAsia="仿宋_GB2312"/>
          <w:spacing w:val="-4"/>
          <w:sz w:val="32"/>
          <w:szCs w:val="32"/>
        </w:rPr>
        <w:t>表彰奖励与任免科、养老保险科、工伤保险科、社会保险基金监督科、信息化科、调解仲裁管理科、信访科、行政审批科、综合执法科、人事科</w:t>
      </w:r>
      <w:r>
        <w:rPr>
          <w:rFonts w:hint="eastAsia" w:ascii="仿宋" w:hAnsi="仿宋" w:eastAsia="仿宋"/>
          <w:spacing w:val="-4"/>
          <w:sz w:val="32"/>
          <w:szCs w:val="32"/>
        </w:rPr>
        <w:t>）</w:t>
      </w:r>
      <w:r>
        <w:rPr>
          <w:rFonts w:hint="eastAsia" w:ascii="仿宋" w:hAnsi="仿宋" w:eastAsia="仿宋"/>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8" w:name="_Toc27677"/>
      <w:r>
        <w:rPr>
          <w:rFonts w:hint="eastAsia" w:ascii="黑体" w:hAnsi="黑体" w:eastAsia="黑体" w:cs="黑体"/>
          <w:sz w:val="32"/>
          <w:szCs w:val="32"/>
          <w:lang w:val="en-US" w:eastAsia="zh-CN"/>
        </w:rPr>
        <w:t>三、收支预算情况说明</w:t>
      </w:r>
      <w:bookmarkEnd w:id="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综合预算的原则，广元市人力资源和社会保障局机关所有收入和支出均纳入部门预算管理。收入均为一般公共预算拨款收入；支出包括：社会保障和就业支出、卫生健康支出、住房保障支出。广元市人力资源和社会保障局机关2024年收支预算总数2446.65万元,比2023年收支预算总数增加91万元，主要原因：一是2024年将在编制职工年度考核奖每人8000元的标准列入年初预算；二是职称评审费收支增加16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9" w:name="_Toc28133"/>
      <w:r>
        <w:rPr>
          <w:rFonts w:hint="eastAsia" w:ascii="楷体_GB2312" w:hAnsi="楷体_GB2312" w:eastAsia="楷体_GB2312" w:cs="楷体_GB2312"/>
          <w:sz w:val="32"/>
          <w:szCs w:val="32"/>
          <w:lang w:val="en-US" w:eastAsia="zh-CN"/>
        </w:rPr>
        <w:t>（一）收入预算情况</w:t>
      </w:r>
      <w:bookmarkEnd w:id="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广元市人力资源和社会保障局机关2024年收入预算2446.65万元，其中：一般公共预算拨款收入2446.65万元，占100%。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0" w:name="_Toc22562"/>
      <w:r>
        <w:rPr>
          <w:rFonts w:hint="eastAsia" w:ascii="楷体_GB2312" w:hAnsi="楷体_GB2312" w:eastAsia="楷体_GB2312" w:cs="楷体_GB2312"/>
          <w:sz w:val="32"/>
          <w:szCs w:val="32"/>
          <w:lang w:val="en-US" w:eastAsia="zh-CN"/>
        </w:rPr>
        <w:t>（二）支出预算情况</w:t>
      </w:r>
      <w:bookmarkEnd w:id="1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广元市人力资源和社会保障局机关2024年支出预算2446.65万元，其中：基本支出1825.95万元，占74.63%；项目支出620.70万元，占25.37%</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1" w:name="_Toc20192"/>
      <w:r>
        <w:rPr>
          <w:rFonts w:hint="eastAsia" w:ascii="黑体" w:hAnsi="黑体" w:eastAsia="黑体" w:cs="黑体"/>
          <w:sz w:val="32"/>
          <w:szCs w:val="32"/>
          <w:lang w:val="en-US" w:eastAsia="zh-CN"/>
        </w:rPr>
        <w:t>四、财政拨款收支预算情况说明</w:t>
      </w:r>
      <w:bookmarkEnd w:id="1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人力资源和社会保障局机关2024年财政拨款收支预算总数2446.65万元,比2023年财政拨款收支预算总数增加91万元，主要原因：一是2024年将在编制职工年度考核奖每人8000元的标准列入年初预算；二是职称评审费收支增加16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收入包括：本年一般公共预算拨款收入2446.65万元；支出包括：社会保障和就业支出2265.28万元、卫生健康支出50.50万元、住房保障支出130.87万元。）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12" w:name="_Toc32179"/>
      <w:r>
        <w:rPr>
          <w:rFonts w:hint="eastAsia" w:ascii="黑体" w:hAnsi="黑体" w:eastAsia="黑体" w:cs="黑体"/>
          <w:sz w:val="32"/>
          <w:szCs w:val="32"/>
          <w:lang w:val="en-US" w:eastAsia="zh-CN"/>
        </w:rPr>
        <w:t>五、一般公共预算当年拨款情况说明</w:t>
      </w:r>
      <w:bookmarkEnd w:id="1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3" w:name="_Toc24001"/>
      <w:r>
        <w:rPr>
          <w:rFonts w:hint="eastAsia" w:ascii="楷体_GB2312" w:hAnsi="楷体_GB2312" w:eastAsia="楷体_GB2312" w:cs="楷体_GB2312"/>
          <w:sz w:val="32"/>
          <w:szCs w:val="32"/>
          <w:lang w:val="en-US" w:eastAsia="zh-CN"/>
        </w:rPr>
        <w:t>（一）一般公共预算当年拨款规模变化情况</w:t>
      </w:r>
      <w:bookmarkEnd w:id="1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人力资源和社会保障局机关2024年一般公共预算当年拨款2446.65万元，比2023年预算数增加91万元，主要原因：一是2024年将在编制职工年度考核奖每人8000元的标准列入年初预算；二是职称评审费收支增加16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4" w:name="_Toc18163"/>
      <w:r>
        <w:rPr>
          <w:rFonts w:hint="eastAsia" w:ascii="楷体_GB2312" w:hAnsi="楷体_GB2312" w:eastAsia="楷体_GB2312" w:cs="楷体_GB2312"/>
          <w:sz w:val="32"/>
          <w:szCs w:val="32"/>
          <w:lang w:val="en-US" w:eastAsia="zh-CN"/>
        </w:rPr>
        <w:t>（二）一般公共预算当年拨款结构情况</w:t>
      </w:r>
      <w:bookmarkEnd w:id="1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社会保障和就业支出2265.28万元，占92.59%；卫生健康支出50.50万元，占2.06%；住房保障支出130.87万元，占5.35%。</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5" w:name="_Toc17020"/>
      <w:r>
        <w:rPr>
          <w:rFonts w:hint="eastAsia" w:ascii="楷体_GB2312" w:hAnsi="楷体_GB2312" w:eastAsia="楷体_GB2312" w:cs="楷体_GB2312"/>
          <w:sz w:val="32"/>
          <w:szCs w:val="32"/>
          <w:lang w:val="en-US" w:eastAsia="zh-CN"/>
        </w:rPr>
        <w:t>一般公共预算当年拨款具体使用情况</w:t>
      </w:r>
      <w:bookmarkEnd w:id="15"/>
    </w:p>
    <w:p>
      <w:pPr>
        <w:widowControl/>
        <w:pBdr>
          <w:bottom w:val="single" w:color="FFFFFF" w:sz="8" w:space="31"/>
        </w:pBdr>
        <w:shd w:val="clear" w:color="auto" w:fill="FFFFFF"/>
        <w:spacing w:line="580" w:lineRule="atLeast"/>
        <w:ind w:firstLine="640" w:firstLineChars="200"/>
        <w:rPr>
          <w:rFonts w:hint="eastAsia" w:ascii="Times New Roman" w:hAnsi="Times New Roman"/>
          <w:color w:val="333333"/>
          <w:sz w:val="32"/>
          <w:szCs w:val="32"/>
        </w:rPr>
      </w:pPr>
      <w:r>
        <w:rPr>
          <w:rFonts w:hint="eastAsia" w:ascii="仿宋_GB2312" w:hAnsi="Times New Roman" w:eastAsia="仿宋_GB2312" w:cs="仿宋_GB2312"/>
          <w:color w:val="333333"/>
          <w:kern w:val="0"/>
          <w:sz w:val="32"/>
          <w:szCs w:val="32"/>
          <w:shd w:val="clear" w:color="auto" w:fill="FFFFFF"/>
          <w:lang w:val="en-US" w:eastAsia="zh-CN" w:bidi="ar"/>
        </w:rPr>
        <w:t>1.社会</w:t>
      </w:r>
      <w:r>
        <w:rPr>
          <w:rFonts w:hint="eastAsia" w:ascii="仿宋_GB2312" w:hAnsi="Times New Roman" w:eastAsia="仿宋_GB2312" w:cs="仿宋_GB2312"/>
          <w:color w:val="333333"/>
          <w:kern w:val="0"/>
          <w:sz w:val="32"/>
          <w:szCs w:val="32"/>
          <w:shd w:val="clear" w:color="auto" w:fill="FFFFFF"/>
          <w:lang w:bidi="ar"/>
        </w:rPr>
        <w:t>保障和就业（类）人力资源和社会保障管理事务（款）行政运行（项）202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1486</w:t>
      </w:r>
      <w:r>
        <w:rPr>
          <w:rFonts w:hint="eastAsia" w:ascii="仿宋_GB2312" w:hAnsi="Times New Roman" w:eastAsia="仿宋_GB2312" w:cs="仿宋_GB2312"/>
          <w:color w:val="333333"/>
          <w:kern w:val="0"/>
          <w:sz w:val="32"/>
          <w:szCs w:val="32"/>
          <w:shd w:val="clear" w:color="auto" w:fill="FFFFFF"/>
          <w:lang w:bidi="ar"/>
        </w:rPr>
        <w:t>万元，主要用于：机关人员经费及基本公用经费支出。</w:t>
      </w:r>
    </w:p>
    <w:p>
      <w:pPr>
        <w:widowControl/>
        <w:pBdr>
          <w:bottom w:val="single" w:color="FFFFFF" w:sz="8" w:space="31"/>
        </w:pBdr>
        <w:shd w:val="clear" w:color="auto" w:fill="FFFFFF"/>
        <w:spacing w:line="580" w:lineRule="atLeast"/>
        <w:ind w:firstLine="640" w:firstLineChars="20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2</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.社会保障和就业（类）人力资源和社会保障管理事务（款）一般行政管理事务（项）202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225.50</w:t>
      </w:r>
      <w:r>
        <w:rPr>
          <w:rFonts w:hint="eastAsia" w:ascii="仿宋_GB2312" w:hAnsi="Times New Roman" w:eastAsia="仿宋_GB2312" w:cs="仿宋_GB2312"/>
          <w:color w:val="333333"/>
          <w:kern w:val="0"/>
          <w:sz w:val="32"/>
          <w:szCs w:val="32"/>
          <w:shd w:val="clear" w:color="auto" w:fill="FFFFFF"/>
          <w:lang w:bidi="ar"/>
        </w:rPr>
        <w:t>万元，主要用于：人事人才、职称评审、劳动能力鉴定、人力资源服务等相关支出。</w:t>
      </w:r>
    </w:p>
    <w:p>
      <w:pPr>
        <w:widowControl/>
        <w:pBdr>
          <w:bottom w:val="single" w:color="FFFFFF" w:sz="8" w:space="31"/>
        </w:pBdr>
        <w:shd w:val="clear" w:color="auto" w:fill="FFFFFF"/>
        <w:spacing w:line="580" w:lineRule="atLeast"/>
        <w:ind w:firstLine="640" w:firstLineChars="200"/>
        <w:rPr>
          <w:rFonts w:hint="default" w:ascii="仿宋_GB2312" w:hAnsi="Times New Roman" w:eastAsia="仿宋_GB2312" w:cs="仿宋_GB2312"/>
          <w:color w:val="333333"/>
          <w:kern w:val="0"/>
          <w:sz w:val="32"/>
          <w:szCs w:val="32"/>
          <w:shd w:val="clear" w:color="auto" w:fill="FFFFFF"/>
          <w:lang w:val="en-US" w:eastAsia="zh-CN" w:bidi="ar"/>
        </w:rPr>
      </w:pPr>
      <w:r>
        <w:rPr>
          <w:rFonts w:hint="eastAsia" w:ascii="仿宋_GB2312" w:hAnsi="Times New Roman" w:eastAsia="仿宋_GB2312" w:cs="仿宋_GB2312"/>
          <w:color w:val="333333"/>
          <w:kern w:val="0"/>
          <w:sz w:val="32"/>
          <w:szCs w:val="32"/>
          <w:shd w:val="clear" w:color="auto" w:fill="FFFFFF"/>
          <w:lang w:val="en-US" w:eastAsia="zh-CN" w:bidi="ar"/>
        </w:rPr>
        <w:t>3.社会保障和就业（类）人力资源和社会保障管理事务（款）社会保险业务管理事务支出（项）2024年预算数为16万元，主</w:t>
      </w:r>
    </w:p>
    <w:p>
      <w:pPr>
        <w:widowControl/>
        <w:pBdr>
          <w:bottom w:val="single" w:color="FFFFFF" w:sz="8" w:space="31"/>
        </w:pBdr>
        <w:shd w:val="clear" w:color="auto" w:fill="FFFFFF"/>
        <w:spacing w:line="240" w:lineRule="auto"/>
        <w:ind w:firstLine="0" w:firstLineChars="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要用于：推进全民参保、社会保险基金监督相关项目支出。</w:t>
      </w:r>
    </w:p>
    <w:p>
      <w:pPr>
        <w:widowControl/>
        <w:pBdr>
          <w:bottom w:val="single" w:color="FFFFFF" w:sz="8" w:space="31"/>
        </w:pBdr>
        <w:shd w:val="clear" w:color="auto" w:fill="FFFFFF"/>
        <w:spacing w:line="580" w:lineRule="atLeast"/>
        <w:ind w:firstLine="640" w:firstLineChars="20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社会保障和就业（类）人力资源和社会保障管理事务（款）信息化建设（项）202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258</w:t>
      </w:r>
      <w:r>
        <w:rPr>
          <w:rFonts w:hint="eastAsia" w:ascii="仿宋_GB2312" w:hAnsi="Times New Roman" w:eastAsia="仿宋_GB2312" w:cs="仿宋_GB2312"/>
          <w:color w:val="333333"/>
          <w:kern w:val="0"/>
          <w:sz w:val="32"/>
          <w:szCs w:val="32"/>
          <w:shd w:val="clear" w:color="auto" w:fill="FFFFFF"/>
          <w:lang w:bidi="ar"/>
        </w:rPr>
        <w:t>万元，主要用于：市就业和社会保障公共服务信息系统</w:t>
      </w:r>
      <w:r>
        <w:rPr>
          <w:rFonts w:hint="eastAsia" w:ascii="仿宋_GB2312" w:hAnsi="Times New Roman" w:eastAsia="仿宋_GB2312" w:cs="仿宋_GB2312"/>
          <w:color w:val="333333"/>
          <w:kern w:val="0"/>
          <w:sz w:val="32"/>
          <w:szCs w:val="32"/>
          <w:shd w:val="clear" w:color="auto" w:fill="FFFFFF"/>
          <w:lang w:val="en-US" w:eastAsia="zh-CN" w:bidi="ar"/>
        </w:rPr>
        <w:t>软硬件</w:t>
      </w:r>
      <w:r>
        <w:rPr>
          <w:rFonts w:hint="eastAsia" w:ascii="仿宋_GB2312" w:hAnsi="Times New Roman" w:eastAsia="仿宋_GB2312" w:cs="仿宋_GB2312"/>
          <w:color w:val="333333"/>
          <w:kern w:val="0"/>
          <w:sz w:val="32"/>
          <w:szCs w:val="32"/>
          <w:shd w:val="clear" w:color="auto" w:fill="FFFFFF"/>
          <w:lang w:bidi="ar"/>
        </w:rPr>
        <w:t>运行维护</w:t>
      </w:r>
      <w:r>
        <w:rPr>
          <w:rFonts w:hint="eastAsia" w:ascii="仿宋_GB2312" w:hAnsi="Times New Roman" w:eastAsia="仿宋_GB2312" w:cs="仿宋_GB2312"/>
          <w:color w:val="333333"/>
          <w:kern w:val="0"/>
          <w:sz w:val="32"/>
          <w:szCs w:val="32"/>
          <w:shd w:val="clear" w:color="auto" w:fill="FFFFFF"/>
          <w:lang w:eastAsia="zh-CN" w:bidi="ar"/>
        </w:rPr>
        <w:t>、</w:t>
      </w:r>
      <w:r>
        <w:rPr>
          <w:rFonts w:hint="eastAsia" w:ascii="仿宋_GB2312" w:hAnsi="Times New Roman" w:eastAsia="仿宋_GB2312" w:cs="仿宋_GB2312"/>
          <w:color w:val="333333"/>
          <w:kern w:val="0"/>
          <w:sz w:val="32"/>
          <w:szCs w:val="32"/>
          <w:shd w:val="clear" w:color="auto" w:fill="FFFFFF"/>
          <w:lang w:val="en-US" w:eastAsia="zh-CN" w:bidi="ar"/>
        </w:rPr>
        <w:t>网络租用费，社会保障卡</w:t>
      </w:r>
      <w:r>
        <w:rPr>
          <w:rFonts w:hint="eastAsia" w:ascii="仿宋_GB2312" w:hAnsi="Times New Roman" w:eastAsia="仿宋_GB2312" w:cs="仿宋_GB2312"/>
          <w:color w:val="333333"/>
          <w:kern w:val="0"/>
          <w:sz w:val="32"/>
          <w:szCs w:val="32"/>
          <w:shd w:val="clear" w:color="auto" w:fill="FFFFFF"/>
          <w:lang w:eastAsia="zh-CN" w:bidi="ar"/>
        </w:rPr>
        <w:t>“</w:t>
      </w:r>
      <w:r>
        <w:rPr>
          <w:rFonts w:hint="eastAsia" w:ascii="仿宋_GB2312" w:hAnsi="Times New Roman" w:eastAsia="仿宋_GB2312" w:cs="仿宋_GB2312"/>
          <w:color w:val="333333"/>
          <w:kern w:val="0"/>
          <w:sz w:val="32"/>
          <w:szCs w:val="32"/>
          <w:shd w:val="clear" w:color="auto" w:fill="FFFFFF"/>
          <w:lang w:val="en-US" w:eastAsia="zh-CN" w:bidi="ar"/>
        </w:rPr>
        <w:t>一卡通</w:t>
      </w:r>
      <w:r>
        <w:rPr>
          <w:rFonts w:hint="eastAsia" w:ascii="仿宋_GB2312" w:hAnsi="Times New Roman" w:eastAsia="仿宋_GB2312" w:cs="仿宋_GB2312"/>
          <w:color w:val="333333"/>
          <w:kern w:val="0"/>
          <w:sz w:val="32"/>
          <w:szCs w:val="32"/>
          <w:shd w:val="clear" w:color="auto" w:fill="FFFFFF"/>
          <w:lang w:eastAsia="zh-CN" w:bidi="ar"/>
        </w:rPr>
        <w:t>”</w:t>
      </w:r>
      <w:r>
        <w:rPr>
          <w:rFonts w:hint="eastAsia" w:ascii="仿宋_GB2312" w:hAnsi="Times New Roman" w:eastAsia="仿宋_GB2312" w:cs="仿宋_GB2312"/>
          <w:color w:val="333333"/>
          <w:kern w:val="0"/>
          <w:sz w:val="32"/>
          <w:szCs w:val="32"/>
          <w:shd w:val="clear" w:color="auto" w:fill="FFFFFF"/>
          <w:lang w:val="en-US" w:eastAsia="zh-CN" w:bidi="ar"/>
        </w:rPr>
        <w:t>工作经费</w:t>
      </w:r>
      <w:r>
        <w:rPr>
          <w:rFonts w:hint="eastAsia" w:ascii="仿宋_GB2312" w:hAnsi="Times New Roman" w:eastAsia="仿宋_GB2312" w:cs="仿宋_GB2312"/>
          <w:color w:val="333333"/>
          <w:kern w:val="0"/>
          <w:sz w:val="32"/>
          <w:szCs w:val="32"/>
          <w:shd w:val="clear" w:color="auto" w:fill="FFFFFF"/>
          <w:lang w:bidi="ar"/>
        </w:rPr>
        <w:t>等相关项目支出。</w:t>
      </w:r>
    </w:p>
    <w:p>
      <w:pPr>
        <w:widowControl/>
        <w:pBdr>
          <w:bottom w:val="single" w:color="FFFFFF" w:sz="8" w:space="31"/>
        </w:pBdr>
        <w:shd w:val="clear" w:color="auto" w:fill="FFFFFF"/>
        <w:spacing w:line="580" w:lineRule="atLeast"/>
        <w:ind w:firstLine="640" w:firstLineChars="20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5.</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社会保障和就业（类）人力资源和社会保障管理事务（款）劳动关系和维权（项）202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56</w:t>
      </w:r>
      <w:r>
        <w:rPr>
          <w:rFonts w:hint="eastAsia" w:ascii="仿宋_GB2312" w:hAnsi="Times New Roman" w:eastAsia="仿宋_GB2312" w:cs="仿宋_GB2312"/>
          <w:color w:val="333333"/>
          <w:kern w:val="0"/>
          <w:sz w:val="32"/>
          <w:szCs w:val="32"/>
          <w:shd w:val="clear" w:color="auto" w:fill="FFFFFF"/>
          <w:lang w:bidi="ar"/>
        </w:rPr>
        <w:t>万元，主要用于：工伤鉴定、工伤预防、信访维稳、劳动保障监督检查</w:t>
      </w:r>
      <w:r>
        <w:rPr>
          <w:rFonts w:hint="eastAsia" w:ascii="仿宋_GB2312" w:hAnsi="Times New Roman" w:eastAsia="仿宋_GB2312" w:cs="仿宋_GB2312"/>
          <w:color w:val="333333"/>
          <w:kern w:val="0"/>
          <w:sz w:val="32"/>
          <w:szCs w:val="32"/>
          <w:shd w:val="clear" w:color="auto" w:fill="FFFFFF"/>
          <w:lang w:eastAsia="zh-CN" w:bidi="ar"/>
        </w:rPr>
        <w:t>、</w:t>
      </w:r>
      <w:r>
        <w:rPr>
          <w:rFonts w:hint="eastAsia" w:ascii="仿宋_GB2312" w:hAnsi="Times New Roman" w:eastAsia="仿宋_GB2312" w:cs="仿宋_GB2312"/>
          <w:color w:val="333333"/>
          <w:kern w:val="0"/>
          <w:sz w:val="32"/>
          <w:szCs w:val="32"/>
          <w:shd w:val="clear" w:color="auto" w:fill="FFFFFF"/>
          <w:lang w:val="en-US" w:eastAsia="zh-CN" w:bidi="ar"/>
        </w:rPr>
        <w:t>农民工服务保障</w:t>
      </w:r>
      <w:r>
        <w:rPr>
          <w:rFonts w:hint="eastAsia" w:ascii="仿宋_GB2312" w:hAnsi="Times New Roman" w:eastAsia="仿宋_GB2312" w:cs="仿宋_GB2312"/>
          <w:color w:val="333333"/>
          <w:kern w:val="0"/>
          <w:sz w:val="32"/>
          <w:szCs w:val="32"/>
          <w:shd w:val="clear" w:color="auto" w:fill="FFFFFF"/>
          <w:lang w:bidi="ar"/>
        </w:rPr>
        <w:t>等相关项目支出。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val="en-US" w:eastAsia="zh-CN" w:bidi="ar"/>
        </w:rPr>
      </w:pPr>
      <w:r>
        <w:rPr>
          <w:rFonts w:hint="eastAsia" w:ascii="仿宋_GB2312" w:hAnsi="Times New Roman" w:eastAsia="仿宋_GB2312" w:cs="仿宋_GB2312"/>
          <w:color w:val="333333"/>
          <w:kern w:val="0"/>
          <w:sz w:val="32"/>
          <w:szCs w:val="32"/>
          <w:shd w:val="clear" w:color="auto" w:fill="FFFFFF"/>
          <w:lang w:val="en-US" w:eastAsia="zh-CN" w:bidi="ar"/>
        </w:rPr>
        <w:t>6.</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社会保障和就业（类）人力资源和社会保障管理事务（款）其他人力资源和社会保障管理事务支出（项）202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43.20</w:t>
      </w:r>
      <w:r>
        <w:rPr>
          <w:rFonts w:hint="eastAsia" w:ascii="仿宋_GB2312" w:hAnsi="Times New Roman" w:eastAsia="仿宋_GB2312" w:cs="仿宋_GB2312"/>
          <w:color w:val="333333"/>
          <w:kern w:val="0"/>
          <w:sz w:val="32"/>
          <w:szCs w:val="32"/>
          <w:shd w:val="clear" w:color="auto" w:fill="FFFFFF"/>
          <w:lang w:bidi="ar"/>
        </w:rPr>
        <w:t>万元，主要用于：其他人力资源和社会保障相关项目支出。</w:t>
      </w:r>
      <w:r>
        <w:rPr>
          <w:rFonts w:hint="eastAsia" w:ascii="仿宋_GB2312" w:hAnsi="Times New Roman" w:eastAsia="仿宋_GB2312" w:cs="仿宋_GB2312"/>
          <w:color w:val="333333"/>
          <w:kern w:val="0"/>
          <w:sz w:val="32"/>
          <w:szCs w:val="32"/>
          <w:shd w:val="clear" w:color="auto" w:fill="FFFFFF"/>
          <w:lang w:val="en-US" w:eastAsia="zh-CN" w:bidi="ar"/>
        </w:rPr>
        <w:t xml:space="preserve">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7</w:t>
      </w:r>
      <w:r>
        <w:rPr>
          <w:rFonts w:hint="eastAsia" w:ascii="仿宋_GB2312" w:hAnsi="Times New Roman" w:eastAsia="仿宋_GB2312" w:cs="仿宋_GB2312"/>
          <w:color w:val="333333"/>
          <w:kern w:val="0"/>
          <w:sz w:val="32"/>
          <w:szCs w:val="32"/>
          <w:shd w:val="clear" w:color="auto" w:fill="FFFFFF"/>
          <w:lang w:bidi="ar"/>
        </w:rPr>
        <w:t>.社会保障和就业（类）行政事业单位养老支出（款）行政单位离退休（项）202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3.19</w:t>
      </w:r>
      <w:r>
        <w:rPr>
          <w:rFonts w:hint="eastAsia" w:ascii="仿宋_GB2312" w:hAnsi="Times New Roman" w:eastAsia="仿宋_GB2312" w:cs="仿宋_GB2312"/>
          <w:color w:val="333333"/>
          <w:kern w:val="0"/>
          <w:sz w:val="32"/>
          <w:szCs w:val="32"/>
          <w:shd w:val="clear" w:color="auto" w:fill="FFFFFF"/>
          <w:lang w:bidi="ar"/>
        </w:rPr>
        <w:t>万元，主要用于：离退休人员经费支出。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8</w:t>
      </w:r>
      <w:r>
        <w:rPr>
          <w:rFonts w:hint="eastAsia" w:ascii="仿宋_GB2312" w:hAnsi="Times New Roman" w:eastAsia="仿宋_GB2312" w:cs="仿宋_GB2312"/>
          <w:color w:val="333333"/>
          <w:kern w:val="0"/>
          <w:sz w:val="32"/>
          <w:szCs w:val="32"/>
          <w:shd w:val="clear" w:color="auto" w:fill="FFFFFF"/>
          <w:lang w:bidi="ar"/>
        </w:rPr>
        <w:t>.社会保障和就业（类）行政事业单位养老支出（款）机关事业单位基本养老保险缴费支出（项）202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155.39</w:t>
      </w:r>
      <w:r>
        <w:rPr>
          <w:rFonts w:hint="eastAsia" w:ascii="仿宋_GB2312" w:hAnsi="Times New Roman" w:eastAsia="仿宋_GB2312" w:cs="仿宋_GB2312"/>
          <w:color w:val="333333"/>
          <w:kern w:val="0"/>
          <w:sz w:val="32"/>
          <w:szCs w:val="32"/>
          <w:shd w:val="clear" w:color="auto" w:fill="FFFFFF"/>
          <w:lang w:bidi="ar"/>
        </w:rPr>
        <w:t>万元，主要用于：由单位缴纳的基本养老保险支出。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9</w:t>
      </w:r>
      <w:r>
        <w:rPr>
          <w:rFonts w:hint="eastAsia" w:ascii="仿宋_GB2312" w:hAnsi="Times New Roman" w:eastAsia="仿宋_GB2312" w:cs="仿宋_GB2312"/>
          <w:color w:val="333333"/>
          <w:kern w:val="0"/>
          <w:sz w:val="32"/>
          <w:szCs w:val="32"/>
          <w:shd w:val="clear" w:color="auto" w:fill="FFFFFF"/>
          <w:lang w:bidi="ar"/>
        </w:rPr>
        <w:t>. 社会保障和就业（类）就业补助（款）其他就业补助支出（项）202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22</w:t>
      </w:r>
      <w:r>
        <w:rPr>
          <w:rFonts w:hint="eastAsia" w:ascii="仿宋_GB2312" w:hAnsi="Times New Roman" w:eastAsia="仿宋_GB2312" w:cs="仿宋_GB2312"/>
          <w:color w:val="333333"/>
          <w:kern w:val="0"/>
          <w:sz w:val="32"/>
          <w:szCs w:val="32"/>
          <w:shd w:val="clear" w:color="auto" w:fill="FFFFFF"/>
          <w:lang w:bidi="ar"/>
        </w:rPr>
        <w:t>万元，主要用于：就业创业其他相关项目支出。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10</w:t>
      </w:r>
      <w:r>
        <w:rPr>
          <w:rFonts w:hint="eastAsia" w:ascii="仿宋_GB2312" w:hAnsi="Times New Roman" w:eastAsia="仿宋_GB2312" w:cs="仿宋_GB2312"/>
          <w:color w:val="333333"/>
          <w:kern w:val="0"/>
          <w:sz w:val="32"/>
          <w:szCs w:val="32"/>
          <w:shd w:val="clear" w:color="auto" w:fill="FFFFFF"/>
          <w:lang w:bidi="ar"/>
        </w:rPr>
        <w:t>.卫生健康（类）行政事业单位医疗（款）行政单位医疗（项）202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仿宋_GB2312" w:hAnsi="Times New Roman" w:eastAsia="仿宋_GB2312" w:cs="仿宋_GB2312"/>
          <w:color w:val="333333"/>
          <w:kern w:val="0"/>
          <w:sz w:val="32"/>
          <w:szCs w:val="32"/>
          <w:shd w:val="clear" w:color="auto" w:fill="FFFFFF"/>
          <w:lang w:val="en-US" w:eastAsia="zh-CN" w:bidi="ar"/>
        </w:rPr>
        <w:t>50.50</w:t>
      </w:r>
      <w:r>
        <w:rPr>
          <w:rFonts w:hint="eastAsia" w:ascii="仿宋_GB2312" w:hAnsi="Times New Roman" w:eastAsia="仿宋_GB2312" w:cs="仿宋_GB2312"/>
          <w:color w:val="333333"/>
          <w:kern w:val="0"/>
          <w:sz w:val="32"/>
          <w:szCs w:val="32"/>
          <w:shd w:val="clear" w:color="auto" w:fill="FFFFFF"/>
          <w:lang w:bidi="ar"/>
        </w:rPr>
        <w:t>万元，主要用于：按规定由单位缴纳的基本医疗保险支出。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default"/>
          <w:lang w:val="en-US" w:eastAsia="zh-CN"/>
        </w:rPr>
      </w:pPr>
      <w:r>
        <w:rPr>
          <w:rFonts w:hint="eastAsia" w:ascii="仿宋_GB2312" w:hAnsi="Times New Roman" w:eastAsia="仿宋_GB2312" w:cs="仿宋_GB2312"/>
          <w:color w:val="333333"/>
          <w:kern w:val="0"/>
          <w:sz w:val="32"/>
          <w:szCs w:val="32"/>
          <w:shd w:val="clear" w:color="auto" w:fill="FFFFFF"/>
          <w:lang w:val="en-US" w:eastAsia="zh-CN" w:bidi="ar"/>
        </w:rPr>
        <w:t>11</w:t>
      </w:r>
      <w:r>
        <w:rPr>
          <w:rFonts w:hint="eastAsia" w:ascii="仿宋_GB2312" w:hAnsi="Times New Roman" w:eastAsia="仿宋_GB2312" w:cs="仿宋_GB2312"/>
          <w:color w:val="333333"/>
          <w:kern w:val="0"/>
          <w:sz w:val="32"/>
          <w:szCs w:val="32"/>
          <w:shd w:val="clear" w:color="auto" w:fill="FFFFFF"/>
          <w:lang w:bidi="ar"/>
        </w:rPr>
        <w:t>.住房保障（类）住房改革支出（款）住房公积金（项）202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仿宋_GB2312" w:hAnsi="Times New Roman" w:eastAsia="仿宋_GB2312" w:cs="仿宋_GB2312"/>
          <w:color w:val="333333"/>
          <w:kern w:val="0"/>
          <w:sz w:val="32"/>
          <w:szCs w:val="32"/>
          <w:shd w:val="clear" w:color="auto" w:fill="FFFFFF"/>
          <w:lang w:val="en-US" w:eastAsia="zh-CN" w:bidi="ar"/>
        </w:rPr>
        <w:t>130.87</w:t>
      </w:r>
      <w:r>
        <w:rPr>
          <w:rFonts w:hint="eastAsia" w:ascii="仿宋_GB2312" w:hAnsi="Times New Roman" w:eastAsia="仿宋_GB2312" w:cs="仿宋_GB2312"/>
          <w:color w:val="333333"/>
          <w:kern w:val="0"/>
          <w:sz w:val="32"/>
          <w:szCs w:val="32"/>
          <w:shd w:val="clear" w:color="auto" w:fill="FFFFFF"/>
          <w:lang w:bidi="ar"/>
        </w:rPr>
        <w:t>万元，主要用于：按规定为职工缴纳的住房公积金支出。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6" w:name="_Toc28918"/>
      <w:r>
        <w:rPr>
          <w:rFonts w:hint="eastAsia" w:ascii="黑体" w:hAnsi="黑体" w:eastAsia="黑体" w:cs="黑体"/>
          <w:sz w:val="32"/>
          <w:szCs w:val="32"/>
          <w:lang w:val="en-US" w:eastAsia="zh-CN"/>
        </w:rPr>
        <w:t>六、一般公共预算基本支出情况说明</w:t>
      </w:r>
      <w:bookmarkEnd w:id="1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广元市人力资源和社会保障局机关2024年一般公共预算基本支出1825.95万元，其中：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人员经费1570.23万元，主要包括：基本工资、津贴补贴、奖金、绩效工资、机关事业单位基本养老保险缴费、职工基本医疗保险缴费、其他社会保险缴费、住房公积金、对个人和家庭的补助等支出。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255.72万元，主要包括：办公费、印刷费、咨询费、水费、电费、邮电费、物业管理费、差旅费、维修（护）费、会议费、培训费、公务接待费、劳务费、工会经费、福利费、公务用车运行维护费、其他交通费用、其他商品和服务支出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7" w:name="_Toc28413"/>
      <w:r>
        <w:rPr>
          <w:rFonts w:hint="eastAsia" w:ascii="黑体" w:hAnsi="黑体" w:eastAsia="黑体" w:cs="黑体"/>
          <w:sz w:val="32"/>
          <w:szCs w:val="32"/>
          <w:lang w:val="en-US" w:eastAsia="zh-CN"/>
        </w:rPr>
        <w:t>七、“三公”经费财政拨款预算安排情况说明</w:t>
      </w:r>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广元市人力资源和社会保障局机关2024年“三公”经费财政拨款预算数10.50万元，其中：公务接待费4.0万元，公务用车购置及运行维护费6.5万元，因公出国（境）经费0万元。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8" w:name="_Toc21109"/>
      <w:r>
        <w:rPr>
          <w:rFonts w:hint="eastAsia" w:ascii="楷体_GB2312" w:hAnsi="楷体_GB2312" w:eastAsia="楷体_GB2312" w:cs="楷体_GB2312"/>
          <w:sz w:val="32"/>
          <w:szCs w:val="32"/>
          <w:lang w:val="en-US" w:eastAsia="zh-CN"/>
        </w:rPr>
        <w:t>（一）公务接待费</w:t>
      </w:r>
      <w:bookmarkEnd w:id="1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2024年公务接待费计划用于接待考察调研人事人才、职称评审、工伤劳动能力鉴定，社会保险事务、就业创业、劳动保障监督监察、农民工服务保障、其他人力资源和社会保障工作公务接待餐费等。</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9" w:name="_Toc24977"/>
      <w:r>
        <w:rPr>
          <w:rFonts w:hint="eastAsia" w:ascii="楷体_GB2312" w:hAnsi="楷体_GB2312" w:eastAsia="楷体_GB2312" w:cs="楷体_GB2312"/>
          <w:sz w:val="32"/>
          <w:szCs w:val="32"/>
          <w:lang w:val="en-US" w:eastAsia="zh-CN"/>
        </w:rPr>
        <w:t>公务用车购置及运行维护费</w:t>
      </w:r>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公务用车购置及运行维护费与2023年预算相比下降0.6万元，主要原因是本单位厉行节约，严格执行过紧日子相关措施，此项费用往年预算均有结余，因此降低2024年预算。单位现有公务用车1辆，其中：越野车1辆。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2024年未安排公务用车购置费。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2024年安排公务用车运行维护费6.5万元，用于1辆公务用车燃油、过路（桥）、维修、保险等方面支出，主要保障</w:t>
      </w:r>
      <w:r>
        <w:rPr>
          <w:rFonts w:hint="eastAsia" w:ascii="仿宋_GB2312" w:hAnsi="Times New Roman" w:eastAsia="仿宋_GB2312" w:cs="仿宋_GB2312"/>
          <w:color w:val="333333"/>
          <w:kern w:val="0"/>
          <w:sz w:val="32"/>
          <w:szCs w:val="32"/>
          <w:shd w:val="clear" w:color="auto" w:fill="FFFFFF"/>
          <w:lang w:bidi="ar"/>
        </w:rPr>
        <w:t>人事人才、职称评审、工伤劳动能力鉴定，社会保险事务、就业创业、劳动保障监督监察、农民工服务保障</w:t>
      </w:r>
      <w:r>
        <w:rPr>
          <w:rFonts w:hint="eastAsia" w:ascii="仿宋_GB2312" w:hAnsi="Times New Roman" w:eastAsia="仿宋_GB2312" w:cs="仿宋_GB2312"/>
          <w:color w:val="333333"/>
          <w:kern w:val="0"/>
          <w:sz w:val="32"/>
          <w:szCs w:val="32"/>
          <w:shd w:val="clear" w:color="auto" w:fill="FFFFFF"/>
          <w:lang w:val="en-US" w:eastAsia="zh-CN" w:bidi="ar"/>
        </w:rPr>
        <w:t>及</w:t>
      </w:r>
      <w:r>
        <w:rPr>
          <w:rFonts w:hint="eastAsia" w:ascii="仿宋_GB2312" w:hAnsi="Times New Roman" w:eastAsia="仿宋_GB2312" w:cs="仿宋_GB2312"/>
          <w:color w:val="333333"/>
          <w:kern w:val="0"/>
          <w:sz w:val="32"/>
          <w:szCs w:val="32"/>
          <w:shd w:val="clear" w:color="auto" w:fill="FFFFFF"/>
          <w:lang w:bidi="ar"/>
        </w:rPr>
        <w:t>其他人力资源和社会保障支出等公务用车</w:t>
      </w:r>
      <w:r>
        <w:rPr>
          <w:rFonts w:hint="eastAsia" w:ascii="仿宋_GB2312" w:hAnsi="Times New Roman" w:eastAsia="仿宋_GB2312" w:cs="仿宋_GB2312"/>
          <w:color w:val="333333"/>
          <w:kern w:val="0"/>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20" w:name="_Toc20771"/>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三）因公出国（境）经费</w:t>
      </w:r>
      <w:bookmarkEnd w:id="20"/>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因公出国（境）经费预算0万元，与2023年预算相比持平。</w:t>
      </w:r>
      <w:r>
        <w:rPr>
          <w:rFonts w:hint="eastAsia" w:ascii="黑体" w:hAnsi="黑体" w:eastAsia="黑体" w:cs="黑体"/>
          <w:sz w:val="32"/>
          <w:szCs w:val="32"/>
          <w:lang w:val="en-US" w:eastAsia="zh-CN"/>
        </w:rPr>
        <w:t>八、政府性基金预算支出情况说明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广元市人力资源和社会保障局机关2024年无政府性基金预算拨款安排的支出。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21" w:name="_Toc3950"/>
      <w:r>
        <w:rPr>
          <w:rFonts w:hint="eastAsia" w:ascii="黑体" w:hAnsi="黑体" w:eastAsia="黑体" w:cs="黑体"/>
          <w:sz w:val="32"/>
          <w:szCs w:val="32"/>
          <w:lang w:val="en-US" w:eastAsia="zh-CN"/>
        </w:rPr>
        <w:t>九、国有资本经营预算支出情况说明</w:t>
      </w:r>
      <w:bookmarkEnd w:id="2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广元市人力资源和社会保障局机关2024年无国有资本经营预算拨款安排的支出。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2" w:name="_Toc24757"/>
      <w:r>
        <w:rPr>
          <w:rFonts w:hint="eastAsia" w:ascii="黑体" w:hAnsi="黑体" w:eastAsia="黑体" w:cs="黑体"/>
          <w:sz w:val="32"/>
          <w:szCs w:val="32"/>
          <w:lang w:val="en-US" w:eastAsia="zh-CN"/>
        </w:rPr>
        <w:t>十、其他重要事项的情况说明</w:t>
      </w:r>
      <w:bookmarkEnd w:id="2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3" w:name="_Toc7245"/>
      <w:r>
        <w:rPr>
          <w:rFonts w:hint="eastAsia" w:ascii="楷体_GB2312" w:hAnsi="楷体_GB2312" w:eastAsia="楷体_GB2312" w:cs="楷体_GB2312"/>
          <w:sz w:val="32"/>
          <w:szCs w:val="32"/>
          <w:lang w:val="en-US" w:eastAsia="zh-CN"/>
        </w:rPr>
        <w:t>（一）机关运行经费</w:t>
      </w:r>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2024年，广元市人力资源和社会保障局机关的机关运行经费财政拨款预算为255.72万元，比2023年预算增加0.33万元，增长0.13%。主要原因是人员经费变化导致工会经费和福利费和党建经费产生零星差异。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4" w:name="_Toc12652"/>
      <w:r>
        <w:rPr>
          <w:rFonts w:hint="eastAsia" w:ascii="楷体_GB2312" w:hAnsi="楷体_GB2312" w:eastAsia="楷体_GB2312" w:cs="楷体_GB2312"/>
          <w:sz w:val="32"/>
          <w:szCs w:val="32"/>
          <w:lang w:val="en-US" w:eastAsia="zh-CN"/>
        </w:rPr>
        <w:t>（二）政府采购情况</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2024年，广元市人力资源和社会保障局机关安排政府采购预算98万元，其中：政府采购服务预算98万元。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5" w:name="_Toc14921"/>
      <w:r>
        <w:rPr>
          <w:rFonts w:hint="eastAsia" w:ascii="楷体_GB2312" w:hAnsi="楷体_GB2312" w:eastAsia="楷体_GB2312" w:cs="楷体_GB2312"/>
          <w:sz w:val="32"/>
          <w:szCs w:val="32"/>
          <w:lang w:val="en-US" w:eastAsia="zh-CN"/>
        </w:rPr>
        <w:t>（三）国有资产占有使用情况</w:t>
      </w:r>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截至2023年底，广元市人力资源和社会保障局机关共有车辆1辆，为其他用车。单位无价值200万元以上的大型设备。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26" w:name="_Toc10037"/>
      <w:r>
        <w:rPr>
          <w:rFonts w:hint="eastAsia" w:ascii="楷体_GB2312" w:hAnsi="楷体_GB2312" w:eastAsia="楷体_GB2312" w:cs="楷体_GB2312"/>
          <w:sz w:val="32"/>
          <w:szCs w:val="32"/>
          <w:lang w:val="en-US" w:eastAsia="zh-CN"/>
        </w:rPr>
        <w:t>（四）绩效目标设置情况</w:t>
      </w:r>
      <w:bookmarkEnd w:id="2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2024年广元市人力资源和社会保障局机关开展绩效目标管理的项目34个，涉及预算2446.65万元。其中：人员类项目4个，涉及预算 1570.23万元；运转类项目1个，涉及预算255.72万元；特定目标类项目34个，涉及预算620.70万元。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7" w:name="_Toc26973"/>
      <w:r>
        <w:rPr>
          <w:rFonts w:hint="eastAsia" w:ascii="黑体" w:hAnsi="黑体" w:eastAsia="黑体" w:cs="黑体"/>
          <w:sz w:val="32"/>
          <w:szCs w:val="32"/>
          <w:lang w:val="en-US" w:eastAsia="zh-CN"/>
        </w:rPr>
        <w:t>十一、名词解释</w:t>
      </w:r>
      <w:bookmarkEnd w:id="27"/>
    </w:p>
    <w:p>
      <w:pPr>
        <w:pStyle w:val="15"/>
        <w:spacing w:line="560" w:lineRule="exact"/>
        <w:ind w:firstLine="640" w:firstLineChars="200"/>
        <w:outlineLvl w:val="1"/>
        <w:rPr>
          <w:rFonts w:ascii="仿宋_GB2312" w:eastAsia="仿宋_GB2312"/>
          <w:sz w:val="32"/>
          <w:szCs w:val="32"/>
        </w:rPr>
      </w:pPr>
      <w:bookmarkStart w:id="28" w:name="_Toc15031"/>
      <w:bookmarkStart w:id="29" w:name="_Toc18768"/>
      <w:bookmarkStart w:id="30" w:name="_Toc24343"/>
      <w:bookmarkStart w:id="31" w:name="_Toc27086"/>
      <w:bookmarkStart w:id="32" w:name="_Toc11604"/>
      <w:bookmarkStart w:id="33" w:name="_Toc13822"/>
      <w:bookmarkStart w:id="34" w:name="_Toc32570"/>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财政拨款收入：</w:t>
      </w:r>
      <w:r>
        <w:rPr>
          <w:rFonts w:hint="eastAsia" w:ascii="仿宋_GB2312" w:eastAsia="仿宋_GB2312"/>
          <w:sz w:val="32"/>
          <w:szCs w:val="32"/>
        </w:rPr>
        <w:t>反映单位从同级财政部门取得的财政预算资金。</w:t>
      </w:r>
      <w:bookmarkEnd w:id="28"/>
      <w:bookmarkEnd w:id="29"/>
      <w:bookmarkEnd w:id="30"/>
      <w:bookmarkEnd w:id="31"/>
      <w:bookmarkEnd w:id="32"/>
      <w:bookmarkEnd w:id="33"/>
      <w:bookmarkEnd w:id="34"/>
      <w:r>
        <w:rPr>
          <w:rFonts w:ascii="仿宋_GB2312" w:eastAsia="仿宋_GB2312"/>
          <w:sz w:val="32"/>
          <w:szCs w:val="32"/>
        </w:rPr>
        <w:t xml:space="preserve"> </w:t>
      </w:r>
    </w:p>
    <w:p>
      <w:pPr>
        <w:pStyle w:val="15"/>
        <w:spacing w:line="560" w:lineRule="exact"/>
        <w:ind w:firstLine="640" w:firstLineChars="200"/>
        <w:rPr>
          <w:rFonts w:ascii="仿宋_GB2312" w:eastAsia="仿宋_GB2312"/>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社会保障和就业支出（类）人力资源和社会保障管理事务（款）行政运行（项）：</w:t>
      </w:r>
      <w:r>
        <w:rPr>
          <w:rFonts w:hint="eastAsia" w:ascii="仿宋_GB2312" w:eastAsia="仿宋_GB2312"/>
          <w:sz w:val="32"/>
          <w:szCs w:val="32"/>
        </w:rPr>
        <w:t>反映行政单位（包括实行公务员管理的事业单位）的基本支出。</w:t>
      </w:r>
    </w:p>
    <w:p>
      <w:pPr>
        <w:pStyle w:val="15"/>
        <w:spacing w:line="560" w:lineRule="exact"/>
        <w:ind w:firstLine="640" w:firstLineChars="200"/>
        <w:rPr>
          <w:rFonts w:hint="eastAsia" w:ascii="仿宋_GB2312" w:eastAsia="仿宋_GB2312"/>
          <w:sz w:val="32"/>
          <w:szCs w:val="32"/>
        </w:rPr>
      </w:pPr>
      <w:r>
        <w:rPr>
          <w:rFonts w:hint="eastAsia" w:ascii="楷体" w:hAnsi="楷体" w:eastAsia="楷体" w:cs="楷体"/>
          <w:sz w:val="32"/>
          <w:szCs w:val="32"/>
          <w:lang w:val="en-US" w:eastAsia="zh-CN"/>
        </w:rPr>
        <w:t>（三）</w:t>
      </w:r>
      <w:r>
        <w:rPr>
          <w:rFonts w:hint="eastAsia" w:ascii="楷体" w:hAnsi="楷体" w:eastAsia="楷体" w:cs="楷体"/>
          <w:sz w:val="32"/>
          <w:szCs w:val="32"/>
        </w:rPr>
        <w:t>社会保障和就业支出（类）人力资源和社会保障管理事务（款）一般行政管理事务（项）：</w:t>
      </w:r>
      <w:r>
        <w:rPr>
          <w:rFonts w:hint="eastAsia" w:ascii="仿宋_GB2312" w:eastAsia="仿宋_GB2312"/>
          <w:sz w:val="32"/>
          <w:szCs w:val="32"/>
        </w:rPr>
        <w:t>反映行政单位（包括实行公务员管理的事业单位）未单独设置顶级科目其他项目支出。</w:t>
      </w:r>
    </w:p>
    <w:p>
      <w:pPr>
        <w:pStyle w:val="15"/>
        <w:spacing w:line="560" w:lineRule="exact"/>
        <w:ind w:firstLine="640" w:firstLineChars="200"/>
        <w:rPr>
          <w:rFonts w:ascii="仿宋_GB2312" w:eastAsia="仿宋_GB2312"/>
          <w:sz w:val="32"/>
          <w:szCs w:val="32"/>
        </w:rPr>
      </w:pPr>
      <w:r>
        <w:rPr>
          <w:rFonts w:hint="eastAsia" w:ascii="楷体" w:hAnsi="楷体" w:eastAsia="楷体" w:cs="楷体"/>
          <w:sz w:val="32"/>
          <w:szCs w:val="32"/>
          <w:lang w:val="en-US" w:eastAsia="zh-CN"/>
        </w:rPr>
        <w:t>（四）</w:t>
      </w:r>
      <w:r>
        <w:rPr>
          <w:rFonts w:hint="eastAsia" w:ascii="楷体" w:hAnsi="楷体" w:eastAsia="楷体" w:cs="楷体"/>
          <w:sz w:val="32"/>
          <w:szCs w:val="32"/>
        </w:rPr>
        <w:t>社会保障和就业支出（类）人力资源和社会保障管理事务（款）社会保险业务管理事务（项）：</w:t>
      </w:r>
      <w:r>
        <w:rPr>
          <w:rFonts w:hint="eastAsia" w:ascii="仿宋_GB2312" w:eastAsia="仿宋_GB2312"/>
          <w:sz w:val="32"/>
          <w:szCs w:val="32"/>
        </w:rPr>
        <w:t>反映社会保险业务管理和基金监督方面的支出。</w:t>
      </w:r>
    </w:p>
    <w:p>
      <w:pPr>
        <w:pStyle w:val="15"/>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社会保障和就业支出（类）人力资源和社会保障管理事务（款）信息化建设（项）：</w:t>
      </w:r>
      <w:r>
        <w:rPr>
          <w:rFonts w:hint="eastAsia" w:ascii="仿宋_GB2312" w:eastAsia="仿宋_GB2312"/>
          <w:sz w:val="32"/>
          <w:szCs w:val="32"/>
        </w:rPr>
        <w:t>反映人力资源和社会保障部门用于信息化建设、运行维护和数据分析等方面的支出，如：金保工程、社会保障卡建设和运行维护、人力资源市场信息化等支出。</w:t>
      </w:r>
    </w:p>
    <w:p>
      <w:pPr>
        <w:pStyle w:val="15"/>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社会保障和就业支出（类）人力资源和社会保障管理事务（款）劳动关系和</w:t>
      </w:r>
      <w:r>
        <w:rPr>
          <w:rFonts w:hint="eastAsia" w:ascii="楷体" w:hAnsi="楷体" w:eastAsia="楷体" w:cs="楷体"/>
          <w:sz w:val="32"/>
          <w:szCs w:val="32"/>
          <w:lang w:val="en-US" w:eastAsia="zh-CN"/>
        </w:rPr>
        <w:t>维权</w:t>
      </w:r>
      <w:r>
        <w:rPr>
          <w:rFonts w:hint="eastAsia" w:ascii="楷体" w:hAnsi="楷体" w:eastAsia="楷体" w:cs="楷体"/>
          <w:sz w:val="32"/>
          <w:szCs w:val="32"/>
        </w:rPr>
        <w:t>（项）：</w:t>
      </w:r>
      <w:r>
        <w:rPr>
          <w:rFonts w:hint="eastAsia" w:ascii="仿宋_GB2312" w:eastAsia="仿宋_GB2312"/>
          <w:sz w:val="32"/>
          <w:szCs w:val="32"/>
        </w:rPr>
        <w:t>反映劳动关系和维权事务支出。</w:t>
      </w:r>
    </w:p>
    <w:p>
      <w:pPr>
        <w:pStyle w:val="15"/>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七</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社会保障和就业支出（类）人力资源和社会保障管理事务（款）其他人力资源和社会保障管理事务支出（项）：</w:t>
      </w:r>
      <w:r>
        <w:rPr>
          <w:rFonts w:hint="eastAsia" w:ascii="仿宋_GB2312" w:eastAsia="仿宋_GB2312"/>
          <w:sz w:val="32"/>
          <w:szCs w:val="32"/>
        </w:rPr>
        <w:t>反映除上述项目以外其他人力资源和社会保障管理事务方面的支出。</w:t>
      </w:r>
    </w:p>
    <w:p>
      <w:pPr>
        <w:pStyle w:val="15"/>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八</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社会保障和就业支出（类）行政事业单位</w:t>
      </w:r>
      <w:r>
        <w:rPr>
          <w:rFonts w:hint="eastAsia" w:ascii="楷体" w:hAnsi="楷体" w:eastAsia="楷体" w:cs="楷体"/>
          <w:sz w:val="32"/>
          <w:szCs w:val="32"/>
          <w:lang w:val="en-US" w:eastAsia="zh-CN"/>
        </w:rPr>
        <w:t>养老支出</w:t>
      </w:r>
      <w:r>
        <w:rPr>
          <w:rFonts w:hint="eastAsia" w:ascii="楷体" w:hAnsi="楷体" w:eastAsia="楷体" w:cs="楷体"/>
          <w:sz w:val="32"/>
          <w:szCs w:val="32"/>
        </w:rPr>
        <w:t>（款）行政单位离退休（项）：</w:t>
      </w:r>
      <w:r>
        <w:rPr>
          <w:rFonts w:hint="eastAsia" w:ascii="仿宋_GB2312" w:eastAsia="仿宋_GB2312"/>
          <w:sz w:val="32"/>
          <w:szCs w:val="32"/>
        </w:rPr>
        <w:t>反映行政单位的行政单位（包括实行公务员管理的事业单位）开支的离退休支出。</w:t>
      </w:r>
    </w:p>
    <w:p>
      <w:pPr>
        <w:pStyle w:val="15"/>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九</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社会保障和就业支出（类）行政事业单位</w:t>
      </w:r>
      <w:r>
        <w:rPr>
          <w:rFonts w:hint="eastAsia" w:ascii="楷体" w:hAnsi="楷体" w:eastAsia="楷体" w:cs="楷体"/>
          <w:sz w:val="32"/>
          <w:szCs w:val="32"/>
          <w:lang w:val="en-US" w:eastAsia="zh-CN"/>
        </w:rPr>
        <w:t>养老支出</w:t>
      </w:r>
      <w:r>
        <w:rPr>
          <w:rFonts w:hint="eastAsia" w:ascii="楷体" w:hAnsi="楷体" w:eastAsia="楷体" w:cs="楷体"/>
          <w:sz w:val="32"/>
          <w:szCs w:val="32"/>
        </w:rPr>
        <w:t>（款）机关事业单位基本养老保险缴费支出（项）：</w:t>
      </w:r>
      <w:r>
        <w:rPr>
          <w:rFonts w:hint="eastAsia" w:ascii="仿宋_GB2312" w:eastAsia="仿宋_GB2312"/>
          <w:sz w:val="32"/>
          <w:szCs w:val="32"/>
        </w:rPr>
        <w:t>反映机关事业单位实施养老保险制度有单位缴纳的基本养老保险费支出。</w:t>
      </w:r>
    </w:p>
    <w:p>
      <w:pPr>
        <w:pStyle w:val="15"/>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社会保障和就业支出（类）就业补助（款）其他就业补助支出（项）：</w:t>
      </w:r>
      <w:r>
        <w:rPr>
          <w:rFonts w:hint="eastAsia" w:ascii="仿宋_GB2312" w:eastAsia="仿宋_GB2312"/>
          <w:sz w:val="32"/>
          <w:szCs w:val="32"/>
        </w:rPr>
        <w:t>反映除上述项目以外按规定确定的其他用于促进就业的补助支出。</w:t>
      </w:r>
    </w:p>
    <w:p>
      <w:pPr>
        <w:pStyle w:val="15"/>
        <w:spacing w:line="560" w:lineRule="exact"/>
        <w:ind w:firstLine="640" w:firstLineChars="200"/>
        <w:rPr>
          <w:rFonts w:hint="eastAsia"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卫生健康支出</w:t>
      </w:r>
      <w:r>
        <w:rPr>
          <w:rFonts w:hint="eastAsia" w:ascii="楷体" w:hAnsi="楷体" w:eastAsia="楷体" w:cs="楷体"/>
          <w:sz w:val="32"/>
          <w:szCs w:val="32"/>
        </w:rPr>
        <w:t>（类）行政事业单位医疗（款）行政单位医疗（项）：</w:t>
      </w:r>
      <w:r>
        <w:rPr>
          <w:rFonts w:hint="eastAsia" w:ascii="仿宋_GB2312" w:eastAsia="仿宋_GB2312"/>
          <w:sz w:val="32"/>
          <w:szCs w:val="32"/>
        </w:rPr>
        <w:t>反映财政部门安排的行政单位</w:t>
      </w:r>
      <w:r>
        <w:rPr>
          <w:rFonts w:hint="eastAsia" w:ascii="仿宋_GB2312" w:eastAsia="仿宋_GB2312"/>
          <w:sz w:val="32"/>
          <w:szCs w:val="32"/>
          <w:lang w:eastAsia="zh-CN"/>
        </w:rPr>
        <w:t>（</w:t>
      </w:r>
      <w:r>
        <w:rPr>
          <w:rFonts w:hint="eastAsia" w:ascii="仿宋_GB2312" w:eastAsia="仿宋_GB2312"/>
          <w:sz w:val="32"/>
          <w:szCs w:val="32"/>
          <w:lang w:val="en-US" w:eastAsia="zh-CN"/>
        </w:rPr>
        <w:t>包括实行公务员管理的事业单位，下同</w:t>
      </w:r>
      <w:r>
        <w:rPr>
          <w:rFonts w:hint="eastAsia" w:ascii="仿宋_GB2312" w:eastAsia="仿宋_GB2312"/>
          <w:sz w:val="32"/>
          <w:szCs w:val="32"/>
          <w:lang w:eastAsia="zh-CN"/>
        </w:rPr>
        <w:t>）</w:t>
      </w:r>
      <w:r>
        <w:rPr>
          <w:rFonts w:hint="eastAsia" w:ascii="仿宋_GB2312" w:eastAsia="仿宋_GB2312"/>
          <w:sz w:val="32"/>
          <w:szCs w:val="32"/>
        </w:rPr>
        <w:t>基本医疗保险缴费经费、未参加医疗保险的行政单位公费医疗经费，按国家规定享受离退休人员、红军老战士待遇人员的医疗经费。</w:t>
      </w:r>
    </w:p>
    <w:p>
      <w:pPr>
        <w:pStyle w:val="15"/>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十二</w:t>
      </w:r>
      <w:r>
        <w:rPr>
          <w:rFonts w:hint="eastAsia" w:ascii="楷体" w:hAnsi="楷体" w:eastAsia="楷体" w:cs="楷体"/>
          <w:sz w:val="32"/>
          <w:szCs w:val="32"/>
          <w:lang w:eastAsia="zh-CN"/>
        </w:rPr>
        <w:t>）</w:t>
      </w:r>
      <w:r>
        <w:rPr>
          <w:rFonts w:hint="eastAsia" w:ascii="楷体" w:hAnsi="楷体" w:eastAsia="楷体" w:cs="楷体"/>
          <w:sz w:val="32"/>
          <w:szCs w:val="32"/>
        </w:rPr>
        <w:t>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十三</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基本支出：</w:t>
      </w:r>
      <w:r>
        <w:rPr>
          <w:rFonts w:hint="eastAsia" w:ascii="仿宋_GB2312" w:eastAsia="仿宋_GB2312"/>
          <w:color w:val="000000"/>
          <w:sz w:val="32"/>
          <w:szCs w:val="32"/>
        </w:rPr>
        <w:t>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十四</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r>
        <w:rPr>
          <w:rFonts w:ascii="仿宋_GB2312" w:eastAsia="仿宋_GB2312"/>
          <w:color w:val="000000"/>
          <w:sz w:val="32"/>
          <w:szCs w:val="32"/>
        </w:rPr>
        <w:t xml:space="preserve"> </w:t>
      </w:r>
    </w:p>
    <w:p>
      <w:pPr>
        <w:pStyle w:val="15"/>
        <w:spacing w:line="560" w:lineRule="exact"/>
        <w:ind w:firstLine="640" w:firstLineChars="200"/>
        <w:rPr>
          <w:rFonts w:ascii="仿宋_GB2312" w:eastAsia="仿宋_GB2312"/>
          <w:sz w:val="32"/>
          <w:szCs w:val="32"/>
        </w:rPr>
      </w:pPr>
      <w:r>
        <w:rPr>
          <w:rFonts w:hint="eastAsia" w:ascii="楷体" w:hAnsi="楷体" w:eastAsia="楷体" w:cs="楷体"/>
          <w:sz w:val="32"/>
          <w:szCs w:val="32"/>
          <w:lang w:val="en-US" w:eastAsia="zh-CN"/>
        </w:rPr>
        <w:t>（十五）</w:t>
      </w:r>
      <w:r>
        <w:rPr>
          <w:rFonts w:hint="eastAsia" w:ascii="楷体" w:hAnsi="楷体" w:eastAsia="楷体" w:cs="楷体"/>
          <w:sz w:val="32"/>
          <w:szCs w:val="32"/>
        </w:rPr>
        <w:t>“三公”经费：</w:t>
      </w:r>
      <w:r>
        <w:rPr>
          <w:rFonts w:hint="eastAsia" w:ascii="仿宋_GB2312"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（十六）</w:t>
      </w:r>
      <w:r>
        <w:rPr>
          <w:rFonts w:hint="eastAsia" w:ascii="楷体" w:hAnsi="楷体" w:eastAsia="楷体" w:cs="楷体"/>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附件：部门预算公开表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eastAsia="zh-CN"/>
        </w:rPr>
      </w:pPr>
    </w:p>
    <w:sectPr>
      <w:footerReference r:id="rId3" w:type="default"/>
      <w:pgSz w:w="11906" w:h="16838"/>
      <w:pgMar w:top="2098" w:right="1474" w:bottom="1984" w:left="1587" w:header="720" w:footer="1559"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Liberation Sans">
    <w:altName w:val="Arial"/>
    <w:panose1 w:val="020B0604020202020204"/>
    <w:charset w:val="00"/>
    <w:family w:val="swiss"/>
    <w:pitch w:val="default"/>
    <w:sig w:usb0="00000000" w:usb1="00000000" w:usb2="00000000" w:usb3="00000000" w:csb0="6000009F" w:csb1="DFD70000"/>
  </w:font>
  <w:font w:name="Arial">
    <w:panose1 w:val="020B0604020202020204"/>
    <w:charset w:val="00"/>
    <w:family w:val="auto"/>
    <w:pitch w:val="default"/>
    <w:sig w:usb0="00007A87" w:usb1="80000000" w:usb2="00000008" w:usb3="00000000" w:csb0="400001FF" w:csb1="FFFF0000"/>
  </w:font>
  <w:font w:name="Noto Sans CJK SC Regular">
    <w:panose1 w:val="020B0500000000000000"/>
    <w:charset w:val="86"/>
    <w:family w:val="auto"/>
    <w:pitch w:val="default"/>
    <w:sig w:usb0="30000003" w:usb1="2BDF3C10" w:usb2="00000016" w:usb3="00000000" w:csb0="602E0107"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zG+uQ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69A51"/>
    <w:multiLevelType w:val="singleLevel"/>
    <w:tmpl w:val="C0369A51"/>
    <w:lvl w:ilvl="0" w:tentative="0">
      <w:start w:val="3"/>
      <w:numFmt w:val="chineseCounting"/>
      <w:suff w:val="nothing"/>
      <w:lvlText w:val="（%1）"/>
      <w:lvlJc w:val="left"/>
      <w:rPr>
        <w:rFonts w:hint="eastAsia"/>
      </w:rPr>
    </w:lvl>
  </w:abstractNum>
  <w:abstractNum w:abstractNumId="1">
    <w:nsid w:val="5BFCE1D6"/>
    <w:multiLevelType w:val="singleLevel"/>
    <w:tmpl w:val="5BFCE1D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ODE3Y2RjYmYxOTA5MjMwNGM5NjQ4OTIyZjY2ZmIifQ=="/>
  </w:docVars>
  <w:rsids>
    <w:rsidRoot w:val="00000000"/>
    <w:rsid w:val="012352D1"/>
    <w:rsid w:val="028247F4"/>
    <w:rsid w:val="02D432A2"/>
    <w:rsid w:val="049031F8"/>
    <w:rsid w:val="054B5371"/>
    <w:rsid w:val="05793C8D"/>
    <w:rsid w:val="06585F98"/>
    <w:rsid w:val="067F3525"/>
    <w:rsid w:val="06A905A2"/>
    <w:rsid w:val="074E2EF7"/>
    <w:rsid w:val="08DD4532"/>
    <w:rsid w:val="09CA2D09"/>
    <w:rsid w:val="0B5605CC"/>
    <w:rsid w:val="0C6C454B"/>
    <w:rsid w:val="0CD65E68"/>
    <w:rsid w:val="0F4672D5"/>
    <w:rsid w:val="11365A5B"/>
    <w:rsid w:val="11BF55C8"/>
    <w:rsid w:val="156A53A0"/>
    <w:rsid w:val="15B12FCF"/>
    <w:rsid w:val="15FA4976"/>
    <w:rsid w:val="16A26AEA"/>
    <w:rsid w:val="16A3500D"/>
    <w:rsid w:val="17C4348D"/>
    <w:rsid w:val="186E164B"/>
    <w:rsid w:val="19C72DC1"/>
    <w:rsid w:val="1ACB068F"/>
    <w:rsid w:val="1BB47375"/>
    <w:rsid w:val="1D5C5F16"/>
    <w:rsid w:val="1E4075E6"/>
    <w:rsid w:val="1E6C03DB"/>
    <w:rsid w:val="1EF3191F"/>
    <w:rsid w:val="1F7BF06F"/>
    <w:rsid w:val="1F897561"/>
    <w:rsid w:val="1FEE4B73"/>
    <w:rsid w:val="20E00C0C"/>
    <w:rsid w:val="23CE9849"/>
    <w:rsid w:val="24C06D8A"/>
    <w:rsid w:val="25205A7B"/>
    <w:rsid w:val="26C863CA"/>
    <w:rsid w:val="28304227"/>
    <w:rsid w:val="28DA4193"/>
    <w:rsid w:val="2B8C5C18"/>
    <w:rsid w:val="2CE77864"/>
    <w:rsid w:val="2DCF44E2"/>
    <w:rsid w:val="2F723377"/>
    <w:rsid w:val="310E0E7D"/>
    <w:rsid w:val="313A1C72"/>
    <w:rsid w:val="31F6203D"/>
    <w:rsid w:val="322546D1"/>
    <w:rsid w:val="325A5DB6"/>
    <w:rsid w:val="336C69D6"/>
    <w:rsid w:val="34AD3D69"/>
    <w:rsid w:val="36C97D20"/>
    <w:rsid w:val="375717D0"/>
    <w:rsid w:val="37AD311E"/>
    <w:rsid w:val="37AE6F16"/>
    <w:rsid w:val="382611A3"/>
    <w:rsid w:val="39F304DD"/>
    <w:rsid w:val="3A241712"/>
    <w:rsid w:val="3A2E5BF4"/>
    <w:rsid w:val="3B4C0F20"/>
    <w:rsid w:val="3BC1546A"/>
    <w:rsid w:val="3D536596"/>
    <w:rsid w:val="3F0D6C18"/>
    <w:rsid w:val="3FA532F5"/>
    <w:rsid w:val="42B07205"/>
    <w:rsid w:val="43D16466"/>
    <w:rsid w:val="43ED0DC6"/>
    <w:rsid w:val="4732546E"/>
    <w:rsid w:val="484C02D7"/>
    <w:rsid w:val="4B103D18"/>
    <w:rsid w:val="4BE60F1D"/>
    <w:rsid w:val="4D460714"/>
    <w:rsid w:val="4E1810A1"/>
    <w:rsid w:val="500656EA"/>
    <w:rsid w:val="50D852D8"/>
    <w:rsid w:val="5143462B"/>
    <w:rsid w:val="52B4142D"/>
    <w:rsid w:val="53530C46"/>
    <w:rsid w:val="54244390"/>
    <w:rsid w:val="54662A63"/>
    <w:rsid w:val="54EE5985"/>
    <w:rsid w:val="567333AD"/>
    <w:rsid w:val="56E3418D"/>
    <w:rsid w:val="58064E12"/>
    <w:rsid w:val="58354DBE"/>
    <w:rsid w:val="58E81E30"/>
    <w:rsid w:val="5B15453A"/>
    <w:rsid w:val="5B157129"/>
    <w:rsid w:val="5B3520CF"/>
    <w:rsid w:val="5BFEE015"/>
    <w:rsid w:val="5D0C00B7"/>
    <w:rsid w:val="5D1A0A26"/>
    <w:rsid w:val="5DE132F2"/>
    <w:rsid w:val="5F131BD1"/>
    <w:rsid w:val="600219C1"/>
    <w:rsid w:val="608A629A"/>
    <w:rsid w:val="60FD48E7"/>
    <w:rsid w:val="63D0663C"/>
    <w:rsid w:val="63EDCF55"/>
    <w:rsid w:val="63FBFBCF"/>
    <w:rsid w:val="64837769"/>
    <w:rsid w:val="64AF414A"/>
    <w:rsid w:val="64BE2864"/>
    <w:rsid w:val="65C6799D"/>
    <w:rsid w:val="669360FD"/>
    <w:rsid w:val="66C11F13"/>
    <w:rsid w:val="66E77BCB"/>
    <w:rsid w:val="684E5628"/>
    <w:rsid w:val="68A5389A"/>
    <w:rsid w:val="68FF6A83"/>
    <w:rsid w:val="6BD12BF8"/>
    <w:rsid w:val="6C731F01"/>
    <w:rsid w:val="6DCC7B1B"/>
    <w:rsid w:val="6ECD58F9"/>
    <w:rsid w:val="6FBBC9CF"/>
    <w:rsid w:val="70161521"/>
    <w:rsid w:val="72A76461"/>
    <w:rsid w:val="72BDE561"/>
    <w:rsid w:val="72D40328"/>
    <w:rsid w:val="751678CE"/>
    <w:rsid w:val="755A3C5E"/>
    <w:rsid w:val="75F05AFC"/>
    <w:rsid w:val="765E777E"/>
    <w:rsid w:val="78300CA6"/>
    <w:rsid w:val="78462278"/>
    <w:rsid w:val="7997EA6C"/>
    <w:rsid w:val="7A4B0019"/>
    <w:rsid w:val="7AD33BCA"/>
    <w:rsid w:val="7AEAE675"/>
    <w:rsid w:val="7BA31296"/>
    <w:rsid w:val="7BAFCE5D"/>
    <w:rsid w:val="7D0F17D2"/>
    <w:rsid w:val="7D46598C"/>
    <w:rsid w:val="7DFB240B"/>
    <w:rsid w:val="7E0935ED"/>
    <w:rsid w:val="7F203823"/>
    <w:rsid w:val="7F2C21C7"/>
    <w:rsid w:val="7FA2692E"/>
    <w:rsid w:val="7FCF2AF7"/>
    <w:rsid w:val="9FEF033D"/>
    <w:rsid w:val="A27FF1E5"/>
    <w:rsid w:val="ADE5F7AE"/>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AE4EFE1"/>
    <w:rsid w:val="FB9B6F12"/>
    <w:rsid w:val="FBB66A4A"/>
    <w:rsid w:val="FDEE6989"/>
    <w:rsid w:val="FF5E7DB8"/>
    <w:rsid w:val="FF77E367"/>
    <w:rsid w:val="FFD576EB"/>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qFormat/>
    <w:uiPriority w:val="0"/>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rPr>
      <w:sz w:val="24"/>
    </w:rPr>
  </w:style>
  <w:style w:type="character" w:styleId="11">
    <w:name w:val="Strong"/>
    <w:basedOn w:val="10"/>
    <w:qFormat/>
    <w:uiPriority w:val="99"/>
    <w:rPr>
      <w:b/>
    </w:rPr>
  </w:style>
  <w:style w:type="character" w:customStyle="1" w:styleId="12">
    <w:name w:val="默认段落字体1"/>
    <w:qFormat/>
    <w:uiPriority w:val="0"/>
  </w:style>
  <w:style w:type="paragraph" w:customStyle="1" w:styleId="13">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paragraph" w:customStyle="1" w:styleId="1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Office_11.8.2.1125_F1E327BC-269C-435d-A152-05C5408002CA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2018-11-29T17:47:00Z</dcterms:created>
  <dc:creator>admin</dc:creator>
  <cp:lastModifiedBy>user</cp:lastModifiedBy>
  <dcterms:modified xsi:type="dcterms:W3CDTF">2024-03-07T16:16:51Z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96081F72B7444D3C8C1C7DDAED24732C_13</vt:lpwstr>
  </property>
</Properties>
</file>