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31254"/>
      <w:bookmarkStart w:id="2" w:name="_Toc15377193"/>
      <w:bookmarkStart w:id="3" w:name="_Toc15396475"/>
      <w:bookmarkStart w:id="4" w:name="_Toc15378441"/>
      <w:bookmarkStart w:id="5" w:name="_Toc5464"/>
      <w:bookmarkStart w:id="6" w:name="_Toc15377425"/>
      <w:bookmarkStart w:id="7" w:name="_Toc13969"/>
      <w:bookmarkStart w:id="8"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9" w:name="_Toc30430"/>
      <w:bookmarkStart w:id="10" w:name="_Toc15377194"/>
      <w:bookmarkStart w:id="11" w:name="_Toc15396476"/>
      <w:bookmarkStart w:id="12" w:name="_Toc15396598"/>
      <w:bookmarkStart w:id="13" w:name="_Toc7656"/>
      <w:bookmarkStart w:id="14" w:name="_Toc15378442"/>
      <w:bookmarkStart w:id="15" w:name="_Toc6920"/>
      <w:bookmarkStart w:id="16" w:name="_Toc15377426"/>
      <w:r>
        <w:rPr>
          <w:rFonts w:hint="eastAsia" w:ascii="方正小标宋简体" w:hAnsi="方正小标宋简体" w:eastAsia="方正小标宋简体" w:cs="方正小标宋简体"/>
          <w:color w:val="auto"/>
          <w:sz w:val="72"/>
          <w:szCs w:val="72"/>
          <w:highlight w:val="none"/>
          <w:lang w:eastAsia="zh-CN"/>
        </w:rPr>
        <w:t>广元</w:t>
      </w:r>
      <w:bookmarkEnd w:id="0"/>
      <w:bookmarkStart w:id="17" w:name="_Toc15306268"/>
      <w:r>
        <w:rPr>
          <w:rFonts w:hint="eastAsia" w:ascii="方正小标宋简体" w:hAnsi="方正小标宋简体" w:eastAsia="方正小标宋简体" w:cs="方正小标宋简体"/>
          <w:color w:val="auto"/>
          <w:sz w:val="72"/>
          <w:szCs w:val="72"/>
          <w:highlight w:val="none"/>
          <w:lang w:val="en-US" w:eastAsia="zh-CN"/>
        </w:rPr>
        <w:t>市人事考试中心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eastAsia" w:ascii="方正小标宋简体" w:hAnsi="方正小标宋简体" w:eastAsia="方正小标宋简体" w:cs="方正小标宋简体"/>
          <w:color w:val="auto"/>
          <w:sz w:val="72"/>
          <w:szCs w:val="72"/>
          <w:highlight w:val="none"/>
        </w:rPr>
      </w:pPr>
    </w:p>
    <w:p>
      <w:pPr>
        <w:pStyle w:val="2"/>
        <w:ind w:left="0" w:leftChars="0" w:firstLine="0" w:firstLineChars="0"/>
        <w:rPr>
          <w:rFonts w:hint="eastAsia" w:ascii="方正小标宋简体" w:hAnsi="方正小标宋简体" w:eastAsia="方正小标宋简体" w:cs="方正小标宋简体"/>
          <w:color w:val="auto"/>
          <w:sz w:val="72"/>
          <w:szCs w:val="72"/>
          <w:highlight w:val="none"/>
          <w:lang w:eastAsia="zh-CN"/>
        </w:rPr>
      </w:pPr>
    </w:p>
    <w:p>
      <w:pPr>
        <w:pStyle w:val="2"/>
        <w:rPr>
          <w:rFonts w:hint="eastAsia" w:ascii="方正小标宋简体" w:hAnsi="方正小标宋简体" w:eastAsia="方正小标宋简体" w:cs="方正小标宋简体"/>
          <w:color w:val="auto"/>
          <w:sz w:val="72"/>
          <w:szCs w:val="72"/>
          <w:highlight w:val="none"/>
        </w:rPr>
      </w:pPr>
    </w:p>
    <w:p>
      <w:pPr>
        <w:pStyle w:val="2"/>
        <w:rPr>
          <w:rFonts w:hint="default" w:ascii="方正小标宋简体" w:hAnsi="方正小标宋简体" w:eastAsia="方正小标宋简体" w:cs="方正小标宋简体"/>
          <w:color w:val="auto"/>
          <w:sz w:val="72"/>
          <w:szCs w:val="72"/>
          <w:highlight w:val="none"/>
          <w:lang w:val="en-US" w:eastAsia="zh-CN"/>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rPr>
          <w:color w:val="auto"/>
          <w:highlight w:val="none"/>
        </w:rPr>
      </w:pPr>
      <w:bookmarkStart w:id="101" w:name="_GoBack"/>
      <w:bookmarkEnd w:id="101"/>
    </w:p>
    <w:sdt>
      <w:sdtPr>
        <w:rPr>
          <w:rFonts w:ascii="宋体" w:hAnsi="宋体" w:eastAsia="宋体" w:cs="Times New Roman"/>
          <w:kern w:val="2"/>
          <w:sz w:val="21"/>
          <w:szCs w:val="24"/>
          <w:lang w:val="en-US" w:eastAsia="zh-CN" w:bidi="ar-SA"/>
        </w:rPr>
        <w:id w:val="147468113"/>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bookmarkStart w:id="18" w:name="_Toc15377196"/>
          <w:bookmarkStart w:id="19" w:name="_Toc15396599"/>
          <w:r>
            <w:fldChar w:fldCharType="begin"/>
          </w:r>
          <w:r>
            <w:instrText xml:space="preserve">TOC \o "1-2" \h \u </w:instrText>
          </w:r>
          <w:r>
            <w:fldChar w:fldCharType="separate"/>
          </w:r>
        </w:p>
        <w:p>
          <w:pPr>
            <w:pStyle w:val="11"/>
            <w:tabs>
              <w:tab w:val="right" w:leader="dot" w:pos="8306"/>
              <w:tab w:val="clear" w:pos="8296"/>
            </w:tabs>
          </w:pPr>
          <w:r>
            <w:fldChar w:fldCharType="begin"/>
          </w:r>
          <w:r>
            <w:instrText xml:space="preserve"> HYPERLINK \l _Toc7406 </w:instrText>
          </w:r>
          <w: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_Toc7406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_Toc30771 </w:instrText>
          </w:r>
          <w:r>
            <w:fldChar w:fldCharType="separate"/>
          </w:r>
          <w:r>
            <w:rPr>
              <w:rFonts w:hint="eastAsia" w:ascii="黑体" w:hAnsi="黑体" w:eastAsia="黑体"/>
              <w:bCs w:val="0"/>
              <w:highlight w:val="none"/>
              <w:lang w:eastAsia="zh-CN"/>
            </w:rPr>
            <w:t>一、主要职责</w:t>
          </w:r>
          <w:r>
            <w:tab/>
          </w:r>
          <w:r>
            <w:fldChar w:fldCharType="begin"/>
          </w:r>
          <w:r>
            <w:instrText xml:space="preserve"> PAGEREF _Toc30771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_Toc22004 </w:instrText>
          </w:r>
          <w:r>
            <w:fldChar w:fldCharType="separate"/>
          </w:r>
          <w:r>
            <w:rPr>
              <w:rFonts w:hint="eastAsia" w:ascii="黑体" w:hAnsi="黑体" w:eastAsia="黑体"/>
              <w:highlight w:val="none"/>
              <w:lang w:val="en-US" w:eastAsia="zh-CN"/>
            </w:rPr>
            <w:t>二、机构设置</w:t>
          </w:r>
          <w:r>
            <w:tab/>
          </w:r>
          <w:r>
            <w:fldChar w:fldCharType="begin"/>
          </w:r>
          <w:r>
            <w:instrText xml:space="preserve"> PAGEREF _Toc22004 \h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_Toc9777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_Toc9777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_Toc4205 </w:instrText>
          </w:r>
          <w:r>
            <w:fldChar w:fldCharType="separate"/>
          </w:r>
          <w:r>
            <w:rPr>
              <w:rFonts w:hint="default" w:ascii="黑体" w:hAnsi="黑体" w:eastAsia="黑体"/>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_Toc4205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_Toc14993 </w:instrText>
          </w:r>
          <w:r>
            <w:fldChar w:fldCharType="separate"/>
          </w:r>
          <w:r>
            <w:rPr>
              <w:rFonts w:hint="default" w:ascii="黑体" w:hAnsi="黑体" w:eastAsia="黑体"/>
            </w:rPr>
            <w:t>二、</w:t>
          </w:r>
          <w:r>
            <w:rPr>
              <w:rFonts w:hint="eastAsia" w:ascii="黑体" w:hAnsi="黑体" w:eastAsia="黑体"/>
              <w:szCs w:val="32"/>
              <w:highlight w:val="none"/>
            </w:rPr>
            <w:t>收</w:t>
          </w:r>
          <w:r>
            <w:rPr>
              <w:rFonts w:hint="eastAsia" w:ascii="黑体" w:hAnsi="黑体" w:eastAsia="黑体"/>
              <w:highlight w:val="none"/>
            </w:rPr>
            <w:t>入决算情况说明</w:t>
          </w:r>
          <w:r>
            <w:tab/>
          </w:r>
          <w:r>
            <w:rPr>
              <w:rFonts w:hint="eastAsia"/>
              <w:lang w:val="en-US" w:eastAsia="zh-CN"/>
            </w:rPr>
            <w:t>4</w:t>
          </w:r>
          <w:r>
            <w:fldChar w:fldCharType="end"/>
          </w:r>
        </w:p>
        <w:p>
          <w:pPr>
            <w:pStyle w:val="13"/>
            <w:tabs>
              <w:tab w:val="right" w:leader="dot" w:pos="8306"/>
              <w:tab w:val="clear" w:pos="8296"/>
            </w:tabs>
          </w:pPr>
          <w:r>
            <w:fldChar w:fldCharType="begin"/>
          </w:r>
          <w:r>
            <w:instrText xml:space="preserve"> HYPERLINK \l _Toc21645 </w:instrText>
          </w:r>
          <w:r>
            <w:fldChar w:fldCharType="separate"/>
          </w:r>
          <w:r>
            <w:rPr>
              <w:rFonts w:hint="default" w:ascii="黑体" w:hAnsi="黑体" w:eastAsia="黑体"/>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_Toc21645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_Toc1169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_Toc1169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_Toc25870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_Toc25870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_Toc29358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_Toc29358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_Toc31354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_Toc31354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_Toc22337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_Toc22337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_Toc4566 </w:instrText>
          </w:r>
          <w:r>
            <w:fldChar w:fldCharType="separate"/>
          </w:r>
          <w:r>
            <w:rPr>
              <w:rFonts w:hint="eastAsia" w:ascii="黑体" w:hAnsi="黑体" w:eastAsia="黑体"/>
            </w:rPr>
            <w:t>九、</w:t>
          </w:r>
          <w:r>
            <w:rPr>
              <w:rFonts w:hint="eastAsia" w:ascii="黑体" w:hAnsi="黑体" w:eastAsia="黑体"/>
              <w:highlight w:val="none"/>
            </w:rPr>
            <w:t>国有资本经营预算支出决算情况说明</w:t>
          </w:r>
          <w:r>
            <w:tab/>
          </w:r>
          <w:r>
            <w:fldChar w:fldCharType="begin"/>
          </w:r>
          <w:r>
            <w:instrText xml:space="preserve"> PAGEREF _Toc4566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_Toc9992 </w:instrText>
          </w:r>
          <w:r>
            <w:fldChar w:fldCharType="separate"/>
          </w:r>
          <w:r>
            <w:rPr>
              <w:rFonts w:hint="eastAsia" w:ascii="黑体" w:hAnsi="黑体" w:eastAsia="黑体"/>
            </w:rPr>
            <w:t>十、</w:t>
          </w:r>
          <w:r>
            <w:rPr>
              <w:rFonts w:hint="eastAsia" w:ascii="黑体" w:hAnsi="黑体" w:eastAsia="黑体"/>
              <w:highlight w:val="none"/>
            </w:rPr>
            <w:t>其他重要事项的情况说明</w:t>
          </w:r>
          <w:r>
            <w:tab/>
          </w:r>
          <w:r>
            <w:fldChar w:fldCharType="begin"/>
          </w:r>
          <w:r>
            <w:instrText xml:space="preserve"> PAGEREF _Toc9992 \h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_Toc12686 </w:instrText>
          </w:r>
          <w: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_Toc12686 \h </w:instrText>
          </w:r>
          <w:r>
            <w:fldChar w:fldCharType="separate"/>
          </w:r>
          <w:r>
            <w:t>11</w:t>
          </w:r>
          <w:r>
            <w:fldChar w:fldCharType="end"/>
          </w:r>
          <w:r>
            <w:fldChar w:fldCharType="end"/>
          </w:r>
        </w:p>
        <w:p>
          <w:pPr>
            <w:pStyle w:val="11"/>
            <w:tabs>
              <w:tab w:val="right" w:leader="dot" w:pos="8306"/>
              <w:tab w:val="clear" w:pos="8296"/>
            </w:tabs>
          </w:pPr>
          <w:r>
            <w:fldChar w:fldCharType="begin"/>
          </w:r>
          <w:r>
            <w:instrText xml:space="preserve"> HYPERLINK \l _Toc10457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w:t>
          </w:r>
          <w:r>
            <w:rPr>
              <w:rFonts w:hint="eastAsia" w:ascii="黑体" w:hAnsi="黑体" w:eastAsia="黑体"/>
              <w:highlight w:val="none"/>
              <w:lang w:val="en-US" w:eastAsia="zh-CN"/>
            </w:rPr>
            <w:t xml:space="preserve"> </w:t>
          </w:r>
          <w:r>
            <w:rPr>
              <w:rFonts w:hint="eastAsia" w:ascii="黑体" w:hAnsi="黑体" w:eastAsia="黑体"/>
              <w:highlight w:val="none"/>
            </w:rPr>
            <w:t>附件</w:t>
          </w:r>
          <w:r>
            <w:tab/>
          </w:r>
          <w:r>
            <w:fldChar w:fldCharType="begin"/>
          </w:r>
          <w:r>
            <w:instrText xml:space="preserve"> PAGEREF _Toc10457 \h </w:instrText>
          </w:r>
          <w:r>
            <w:fldChar w:fldCharType="separate"/>
          </w:r>
          <w:r>
            <w:t>13</w:t>
          </w:r>
          <w:r>
            <w:fldChar w:fldCharType="end"/>
          </w:r>
          <w:r>
            <w:fldChar w:fldCharType="end"/>
          </w:r>
        </w:p>
        <w:p>
          <w:pPr>
            <w:pStyle w:val="11"/>
            <w:tabs>
              <w:tab w:val="right" w:leader="dot" w:pos="8306"/>
              <w:tab w:val="clear" w:pos="8296"/>
            </w:tabs>
          </w:pPr>
          <w:r>
            <w:fldChar w:fldCharType="begin"/>
          </w:r>
          <w:r>
            <w:instrText xml:space="preserve"> HYPERLINK \l _Toc2070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_Toc2070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_Toc3769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_Toc3769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_Toc1946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_Toc1946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_Toc31241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_Toc31241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_Toc16695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_Toc16695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_Toc12076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_Toc12076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_Toc32255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_Toc32255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_Toc24031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_Toc24031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_Toc21993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_Toc21993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_Toc28862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_Toc28862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_Toc31124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_Toc31124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_Toc27771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_Toc27771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_Toc24379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_Toc24379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_Toc2447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_Toc2447 \h </w:instrText>
          </w:r>
          <w:r>
            <w:fldChar w:fldCharType="separate"/>
          </w:r>
          <w:r>
            <w:t>25</w:t>
          </w:r>
          <w:r>
            <w:fldChar w:fldCharType="end"/>
          </w:r>
          <w:r>
            <w:fldChar w:fldCharType="end"/>
          </w:r>
        </w:p>
        <w:p>
          <w:pPr>
            <w:widowControl/>
            <w:spacing w:line="440" w:lineRule="exact"/>
            <w:jc w:val="left"/>
            <w:rPr>
              <w:rFonts w:ascii="仿宋" w:hAnsi="仿宋" w:eastAsia="仿宋"/>
              <w:bCs/>
              <w:color w:val="auto"/>
              <w:kern w:val="44"/>
              <w:sz w:val="24"/>
              <w:highlight w:val="none"/>
            </w:rPr>
          </w:pPr>
          <w:r>
            <w:fldChar w:fldCharType="end"/>
          </w:r>
        </w:p>
      </w:sdtContent>
    </w:sdt>
    <w:p>
      <w:pPr>
        <w:pStyle w:val="3"/>
        <w:jc w:val="center"/>
        <w:rPr>
          <w:rStyle w:val="26"/>
          <w:rFonts w:ascii="黑体" w:hAnsi="黑体" w:eastAsia="黑体"/>
          <w:b/>
          <w:bCs w:val="0"/>
          <w:color w:val="auto"/>
          <w:highlight w:val="none"/>
        </w:rPr>
      </w:pPr>
      <w:bookmarkStart w:id="20" w:name="_Toc740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8"/>
      <w:bookmarkEnd w:id="19"/>
      <w:bookmarkEnd w:id="20"/>
    </w:p>
    <w:p>
      <w:pPr>
        <w:pStyle w:val="4"/>
        <w:numPr>
          <w:ilvl w:val="0"/>
          <w:numId w:val="0"/>
        </w:numPr>
        <w:ind w:firstLine="640" w:firstLineChars="200"/>
        <w:rPr>
          <w:rStyle w:val="27"/>
          <w:rFonts w:hint="eastAsia" w:ascii="黑体" w:hAnsi="黑体" w:eastAsia="黑体"/>
          <w:b w:val="0"/>
          <w:bCs w:val="0"/>
          <w:color w:val="auto"/>
          <w:highlight w:val="none"/>
          <w:lang w:eastAsia="zh-CN"/>
        </w:rPr>
      </w:pPr>
      <w:bookmarkStart w:id="21" w:name="_Toc30771"/>
      <w:bookmarkStart w:id="22" w:name="_Toc15396600"/>
      <w:bookmarkStart w:id="23" w:name="_Toc15377197"/>
      <w:r>
        <w:rPr>
          <w:rStyle w:val="27"/>
          <w:rFonts w:hint="eastAsia" w:ascii="黑体" w:hAnsi="黑体" w:eastAsia="黑体"/>
          <w:b w:val="0"/>
          <w:bCs w:val="0"/>
          <w:color w:val="auto"/>
          <w:highlight w:val="none"/>
          <w:lang w:eastAsia="zh-CN"/>
        </w:rPr>
        <w:t>一、主要职责</w:t>
      </w:r>
      <w:bookmarkEnd w:id="21"/>
    </w:p>
    <w:p>
      <w:pPr>
        <w:widowControl/>
        <w:ind w:firstLine="640" w:firstLineChars="20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Times New Roman" w:eastAsia="仿宋_GB2312" w:cs="Times New Roman"/>
          <w:sz w:val="32"/>
          <w:szCs w:val="32"/>
        </w:rPr>
        <w:t>负责组织实施全市国家公务员、事业单位新进人员考试录用及全市公务员、事业单位工作人员考调工作</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负责组织实施各类专业技术人员执（职）业资格、专业技术人员计算机应用能力考试</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负责组织实施各类社会化代理考试（选拔考试、资质认证考试等）</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负责我市职业技能鉴定工作的组织实施</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负责指导各职业技能鉴定机构业务</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负责指导全市职业技能竞赛相关工作</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办理其他交办的工作</w:t>
      </w:r>
      <w:r>
        <w:rPr>
          <w:rFonts w:hint="eastAsia" w:ascii="仿宋_GB2312" w:hAnsi="仿宋_GB2312" w:eastAsia="仿宋_GB2312" w:cs="仿宋_GB2312"/>
          <w:b w:val="0"/>
          <w:bCs w:val="0"/>
          <w:color w:val="auto"/>
          <w:kern w:val="2"/>
          <w:sz w:val="32"/>
          <w:szCs w:val="32"/>
          <w:lang w:val="en-US" w:eastAsia="zh-CN" w:bidi="ar-SA"/>
        </w:rPr>
        <w:t>。</w:t>
      </w:r>
    </w:p>
    <w:p>
      <w:pPr>
        <w:pStyle w:val="4"/>
        <w:numPr>
          <w:ilvl w:val="0"/>
          <w:numId w:val="0"/>
        </w:numPr>
        <w:ind w:firstLine="640" w:firstLineChars="200"/>
        <w:rPr>
          <w:rFonts w:hint="eastAsia" w:ascii="黑体" w:hAnsi="黑体" w:eastAsia="黑体"/>
          <w:b w:val="0"/>
          <w:color w:val="auto"/>
          <w:highlight w:val="none"/>
          <w:lang w:val="en-US" w:eastAsia="zh-CN"/>
        </w:rPr>
      </w:pPr>
      <w:bookmarkStart w:id="24" w:name="_Toc22004"/>
      <w:r>
        <w:rPr>
          <w:rFonts w:hint="eastAsia" w:ascii="黑体" w:hAnsi="黑体" w:eastAsia="黑体"/>
          <w:b w:val="0"/>
          <w:color w:val="auto"/>
          <w:highlight w:val="none"/>
          <w:lang w:val="en-US" w:eastAsia="zh-CN"/>
        </w:rPr>
        <w:t>二、机构设置</w:t>
      </w:r>
      <w:bookmarkEnd w:id="24"/>
    </w:p>
    <w:bookmarkEnd w:id="22"/>
    <w:bookmarkEnd w:id="23"/>
    <w:p>
      <w:pPr>
        <w:widowControl/>
        <w:ind w:firstLine="640" w:firstLineChars="200"/>
        <w:jc w:val="left"/>
        <w:rPr>
          <w:rFonts w:ascii="仿宋" w:hAnsi="仿宋" w:eastAsia="仿宋"/>
          <w:color w:val="auto"/>
          <w:kern w:val="0"/>
          <w:sz w:val="32"/>
          <w:szCs w:val="32"/>
          <w:highlight w:val="none"/>
        </w:rPr>
      </w:pPr>
      <w:r>
        <w:rPr>
          <w:rFonts w:hint="eastAsia" w:ascii="仿宋_GB2312" w:hAnsi="仿宋_GB2312" w:eastAsia="仿宋_GB2312" w:cs="仿宋_GB2312"/>
          <w:b w:val="0"/>
          <w:bCs w:val="0"/>
          <w:color w:val="auto"/>
          <w:kern w:val="2"/>
          <w:sz w:val="32"/>
          <w:szCs w:val="32"/>
          <w:lang w:val="en-US" w:eastAsia="zh-CN" w:bidi="ar-SA"/>
        </w:rPr>
        <w:t>广元市人事考试中心是广元市人力资源社会保障局下属公益一类事业单位。</w:t>
      </w: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25" w:name="_Toc15377204"/>
      <w:bookmarkStart w:id="26" w:name="_Toc15396602"/>
      <w:bookmarkStart w:id="27" w:name="_Toc9777"/>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5"/>
      <w:bookmarkEnd w:id="26"/>
      <w:bookmarkEnd w:id="27"/>
    </w:p>
    <w:p>
      <w:pPr>
        <w:rPr>
          <w:color w:val="auto"/>
          <w:highlight w:val="none"/>
        </w:rPr>
      </w:pPr>
    </w:p>
    <w:p>
      <w:pPr>
        <w:pStyle w:val="25"/>
        <w:numPr>
          <w:ilvl w:val="0"/>
          <w:numId w:val="0"/>
        </w:numPr>
        <w:spacing w:line="600" w:lineRule="exact"/>
        <w:ind w:left="640" w:leftChars="0"/>
        <w:outlineLvl w:val="1"/>
        <w:rPr>
          <w:rStyle w:val="27"/>
          <w:rFonts w:ascii="黑体" w:hAnsi="黑体" w:eastAsia="黑体"/>
          <w:b w:val="0"/>
          <w:color w:val="auto"/>
          <w:highlight w:val="none"/>
        </w:rPr>
      </w:pPr>
      <w:bookmarkStart w:id="28" w:name="_Toc4205"/>
      <w:bookmarkStart w:id="29" w:name="_Toc15396603"/>
      <w:bookmarkStart w:id="30" w:name="_Toc15377205"/>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8"/>
      <w:bookmarkEnd w:id="29"/>
      <w:bookmarkEnd w:id="30"/>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233.87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val="en-US" w:eastAsia="zh-CN"/>
        </w:rPr>
        <w:t>增加17.31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增长8.38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2022年新增项目支出13.46万元；二是2022年人员经费增加</w:t>
      </w:r>
      <w:r>
        <w:rPr>
          <w:rFonts w:hint="eastAsia" w:ascii="仿宋" w:hAnsi="仿宋" w:eastAsia="仿宋"/>
          <w:color w:val="auto"/>
          <w:sz w:val="32"/>
          <w:szCs w:val="32"/>
          <w:highlight w:val="none"/>
          <w:lang w:eastAsia="zh-CN"/>
        </w:rPr>
        <w:t>。</w:t>
      </w:r>
    </w:p>
    <w:p>
      <w:pPr>
        <w:spacing w:line="600" w:lineRule="exact"/>
        <w:jc w:val="center"/>
        <w:rPr>
          <w:rFonts w:hint="eastAsia" w:ascii="黑体" w:hAnsi="黑体" w:eastAsia="黑体"/>
          <w:color w:val="auto"/>
          <w:sz w:val="32"/>
          <w:szCs w:val="32"/>
          <w:highlight w:val="none"/>
          <w:lang w:val="en-US" w:eastAsia="zh-CN"/>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
        <w:rPr>
          <w:rFonts w:hint="eastAsia" w:ascii="黑体" w:hAnsi="黑体" w:eastAsia="黑体"/>
          <w:color w:val="auto"/>
          <w:sz w:val="32"/>
          <w:szCs w:val="32"/>
          <w:highlight w:val="none"/>
          <w:lang w:val="en-US" w:eastAsia="zh-CN"/>
        </w:rPr>
      </w:pPr>
      <w:r>
        <w:drawing>
          <wp:anchor distT="0" distB="0" distL="114300" distR="114300" simplePos="0" relativeHeight="251660288" behindDoc="0" locked="0" layoutInCell="1" allowOverlap="1">
            <wp:simplePos x="0" y="0"/>
            <wp:positionH relativeFrom="column">
              <wp:posOffset>372745</wp:posOffset>
            </wp:positionH>
            <wp:positionV relativeFrom="paragraph">
              <wp:posOffset>47625</wp:posOffset>
            </wp:positionV>
            <wp:extent cx="4788535" cy="2190750"/>
            <wp:effectExtent l="4445" t="4445" r="7620" b="14605"/>
            <wp:wrapSquare wrapText="bothSides"/>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rFonts w:hint="eastAsia" w:ascii="黑体" w:hAnsi="黑体" w:eastAsia="黑体"/>
          <w:color w:val="auto"/>
          <w:sz w:val="32"/>
          <w:szCs w:val="32"/>
          <w:highlight w:val="none"/>
          <w:lang w:val="en-US" w:eastAsia="zh-CN"/>
        </w:rPr>
      </w:pPr>
    </w:p>
    <w:p>
      <w:pPr>
        <w:pStyle w:val="2"/>
        <w:rPr>
          <w:rFonts w:hint="eastAsia" w:ascii="黑体" w:hAnsi="黑体" w:eastAsia="黑体"/>
          <w:color w:val="auto"/>
          <w:sz w:val="32"/>
          <w:szCs w:val="32"/>
          <w:highlight w:val="none"/>
          <w:lang w:val="en-US" w:eastAsia="zh-CN"/>
        </w:rPr>
      </w:pPr>
    </w:p>
    <w:p>
      <w:pPr>
        <w:pStyle w:val="2"/>
        <w:rPr>
          <w:rFonts w:hint="eastAsia" w:ascii="黑体" w:hAnsi="黑体" w:eastAsia="黑体"/>
          <w:color w:val="auto"/>
          <w:sz w:val="32"/>
          <w:szCs w:val="32"/>
          <w:highlight w:val="none"/>
          <w:lang w:val="en-US" w:eastAsia="zh-CN"/>
        </w:rPr>
      </w:pPr>
    </w:p>
    <w:p>
      <w:pPr>
        <w:pStyle w:val="2"/>
        <w:rPr>
          <w:rFonts w:hint="eastAsia" w:ascii="黑体" w:hAnsi="黑体" w:eastAsia="黑体"/>
          <w:color w:val="auto"/>
          <w:sz w:val="32"/>
          <w:szCs w:val="32"/>
          <w:highlight w:val="none"/>
          <w:lang w:val="en-US" w:eastAsia="zh-CN"/>
        </w:rPr>
      </w:pPr>
    </w:p>
    <w:p>
      <w:pPr>
        <w:pStyle w:val="2"/>
        <w:ind w:left="0" w:leftChars="0" w:firstLine="0" w:firstLineChars="0"/>
        <w:rPr>
          <w:rFonts w:hint="eastAsia" w:ascii="黑体" w:hAnsi="黑体" w:eastAsia="黑体"/>
          <w:color w:val="auto"/>
          <w:sz w:val="32"/>
          <w:szCs w:val="32"/>
          <w:highlight w:val="none"/>
          <w:lang w:val="en-US" w:eastAsia="zh-CN"/>
        </w:rPr>
      </w:pPr>
    </w:p>
    <w:p>
      <w:pPr>
        <w:spacing w:line="600" w:lineRule="exact"/>
        <w:jc w:val="left"/>
        <w:rPr>
          <w:rFonts w:hint="eastAsia" w:ascii="黑体" w:hAnsi="黑体" w:eastAsia="黑体"/>
          <w:color w:val="auto"/>
          <w:sz w:val="32"/>
          <w:szCs w:val="32"/>
          <w:highlight w:val="none"/>
          <w:lang w:val="en-US" w:eastAsia="zh-CN"/>
        </w:rPr>
      </w:pPr>
    </w:p>
    <w:p>
      <w:pPr>
        <w:spacing w:line="600" w:lineRule="exact"/>
        <w:ind w:firstLine="640" w:firstLineChars="200"/>
        <w:jc w:val="left"/>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二、收入决算情况说明</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年本年收入合计</w:t>
      </w:r>
      <w:r>
        <w:rPr>
          <w:rFonts w:hint="eastAsia" w:ascii="仿宋" w:hAnsi="仿宋" w:eastAsia="仿宋" w:cs="Times New Roman"/>
          <w:color w:val="auto"/>
          <w:sz w:val="32"/>
          <w:szCs w:val="32"/>
          <w:highlight w:val="none"/>
          <w:lang w:val="en-US" w:eastAsia="zh-CN"/>
        </w:rPr>
        <w:t>223.87</w:t>
      </w:r>
      <w:r>
        <w:rPr>
          <w:rFonts w:hint="eastAsia" w:ascii="仿宋" w:hAnsi="仿宋" w:eastAsia="仿宋" w:cs="Times New Roman"/>
          <w:color w:val="auto"/>
          <w:sz w:val="32"/>
          <w:szCs w:val="32"/>
          <w:highlight w:val="none"/>
        </w:rPr>
        <w:t>万元，其中：一般公共预算财政拨款收入</w:t>
      </w:r>
      <w:r>
        <w:rPr>
          <w:rFonts w:hint="eastAsia" w:ascii="仿宋" w:hAnsi="仿宋" w:eastAsia="仿宋" w:cs="Times New Roman"/>
          <w:color w:val="auto"/>
          <w:sz w:val="32"/>
          <w:szCs w:val="32"/>
          <w:highlight w:val="none"/>
          <w:lang w:val="en-US" w:eastAsia="zh-CN"/>
        </w:rPr>
        <w:t>223.87</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100</w:t>
      </w:r>
      <w:r>
        <w:rPr>
          <w:rFonts w:hint="eastAsia" w:ascii="仿宋" w:hAnsi="仿宋" w:eastAsia="仿宋" w:cs="Times New Roman"/>
          <w:color w:val="auto"/>
          <w:sz w:val="32"/>
          <w:szCs w:val="32"/>
          <w:highlight w:val="none"/>
        </w:rPr>
        <w:t>%。</w:t>
      </w:r>
    </w:p>
    <w:p>
      <w:pPr>
        <w:spacing w:line="600" w:lineRule="exact"/>
        <w:ind w:firstLine="420" w:firstLineChars="200"/>
        <w:jc w:val="center"/>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289560</wp:posOffset>
            </wp:positionH>
            <wp:positionV relativeFrom="paragraph">
              <wp:posOffset>407035</wp:posOffset>
            </wp:positionV>
            <wp:extent cx="4855210" cy="1970405"/>
            <wp:effectExtent l="4445" t="4445" r="17145" b="6350"/>
            <wp:wrapSquare wrapText="bothSides"/>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（图2：收入决算结构图）</w:t>
      </w:r>
    </w:p>
    <w:p>
      <w:pPr>
        <w:pStyle w:val="25"/>
        <w:numPr>
          <w:ilvl w:val="0"/>
          <w:numId w:val="0"/>
        </w:numPr>
        <w:spacing w:line="600" w:lineRule="exact"/>
        <w:ind w:left="640" w:leftChars="0"/>
        <w:outlineLvl w:val="1"/>
        <w:rPr>
          <w:rStyle w:val="27"/>
          <w:rFonts w:ascii="黑体" w:hAnsi="黑体" w:eastAsia="黑体"/>
          <w:b w:val="0"/>
          <w:color w:val="auto"/>
          <w:highlight w:val="none"/>
        </w:rPr>
      </w:pPr>
      <w:bookmarkStart w:id="31" w:name="_Toc15377207"/>
      <w:bookmarkStart w:id="32" w:name="_Toc15396605"/>
      <w:bookmarkStart w:id="33" w:name="_Toc21645"/>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rPr>
          <w:rFonts w:hint="eastAsia" w:ascii="仿宋" w:hAnsi="仿宋" w:eastAsia="仿宋" w:cs="Times New Roman"/>
          <w:color w:val="auto"/>
          <w:sz w:val="32"/>
          <w:szCs w:val="32"/>
          <w:highlight w:val="none"/>
          <w:lang w:eastAsia="zh-CN"/>
        </w:rPr>
      </w:pPr>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年本年支出合计</w:t>
      </w:r>
      <w:r>
        <w:rPr>
          <w:rFonts w:hint="eastAsia" w:ascii="仿宋" w:hAnsi="仿宋" w:eastAsia="仿宋" w:cs="Times New Roman"/>
          <w:color w:val="auto"/>
          <w:sz w:val="32"/>
          <w:szCs w:val="32"/>
          <w:highlight w:val="none"/>
          <w:lang w:val="en-US" w:eastAsia="zh-CN"/>
        </w:rPr>
        <w:t>233.87</w:t>
      </w:r>
      <w:r>
        <w:rPr>
          <w:rFonts w:hint="eastAsia" w:ascii="仿宋" w:hAnsi="仿宋" w:eastAsia="仿宋" w:cs="Times New Roman"/>
          <w:color w:val="auto"/>
          <w:sz w:val="32"/>
          <w:szCs w:val="32"/>
          <w:highlight w:val="none"/>
        </w:rPr>
        <w:t>万元，其中：基本支出</w:t>
      </w:r>
      <w:r>
        <w:rPr>
          <w:rFonts w:hint="eastAsia" w:ascii="仿宋" w:hAnsi="仿宋" w:eastAsia="仿宋" w:cs="Times New Roman"/>
          <w:color w:val="auto"/>
          <w:sz w:val="32"/>
          <w:szCs w:val="32"/>
          <w:highlight w:val="none"/>
          <w:lang w:val="en-US" w:eastAsia="zh-CN"/>
        </w:rPr>
        <w:t>180.41</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77</w:t>
      </w:r>
      <w:r>
        <w:rPr>
          <w:rFonts w:hint="eastAsia" w:ascii="仿宋" w:hAnsi="仿宋" w:eastAsia="仿宋" w:cs="Times New Roman"/>
          <w:color w:val="auto"/>
          <w:sz w:val="32"/>
          <w:szCs w:val="32"/>
          <w:highlight w:val="none"/>
        </w:rPr>
        <w:t>%；项目支出</w:t>
      </w:r>
      <w:r>
        <w:rPr>
          <w:rFonts w:hint="eastAsia" w:ascii="仿宋" w:hAnsi="仿宋" w:eastAsia="仿宋" w:cs="Times New Roman"/>
          <w:color w:val="auto"/>
          <w:sz w:val="32"/>
          <w:szCs w:val="32"/>
          <w:highlight w:val="none"/>
          <w:lang w:val="en-US" w:eastAsia="zh-CN"/>
        </w:rPr>
        <w:t>53.46</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23</w:t>
      </w: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eastAsia="zh-CN"/>
        </w:rPr>
        <w:t>。</w:t>
      </w:r>
    </w:p>
    <w:p>
      <w:pPr>
        <w:spacing w:line="600" w:lineRule="exact"/>
        <w:ind w:firstLine="1680" w:firstLineChars="800"/>
        <w:rPr>
          <w:rFonts w:hint="eastAsia" w:ascii="黑体" w:hAnsi="黑体" w:eastAsia="黑体"/>
          <w:color w:val="auto"/>
          <w:sz w:val="32"/>
          <w:szCs w:val="32"/>
          <w:highlight w:val="none"/>
        </w:rPr>
      </w:pPr>
      <w:r>
        <w:drawing>
          <wp:anchor distT="0" distB="0" distL="114300" distR="114300" simplePos="0" relativeHeight="251662336" behindDoc="0" locked="0" layoutInCell="1" allowOverlap="1">
            <wp:simplePos x="0" y="0"/>
            <wp:positionH relativeFrom="column">
              <wp:posOffset>315595</wp:posOffset>
            </wp:positionH>
            <wp:positionV relativeFrom="paragraph">
              <wp:posOffset>428625</wp:posOffset>
            </wp:positionV>
            <wp:extent cx="4378960" cy="2191385"/>
            <wp:effectExtent l="4445" t="4445" r="17145" b="13970"/>
            <wp:wrapSquare wrapText="bothSides"/>
            <wp:docPr id="2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w:t>
      </w:r>
      <w:bookmarkStart w:id="34" w:name="_Toc15377208"/>
      <w:bookmarkStart w:id="35" w:name="_Toc15396606"/>
    </w:p>
    <w:p>
      <w:pPr>
        <w:spacing w:line="600" w:lineRule="exact"/>
        <w:ind w:firstLine="640" w:firstLineChars="200"/>
        <w:outlineLvl w:val="1"/>
        <w:rPr>
          <w:rFonts w:hint="eastAsia" w:ascii="黑体" w:hAnsi="黑体" w:eastAsia="黑体"/>
          <w:color w:val="auto"/>
          <w:sz w:val="32"/>
          <w:szCs w:val="32"/>
          <w:highlight w:val="none"/>
          <w:lang w:val="en-US" w:eastAsia="zh-CN"/>
        </w:rPr>
      </w:pPr>
      <w:bookmarkStart w:id="36" w:name="_Toc1169"/>
    </w:p>
    <w:p>
      <w:pPr>
        <w:spacing w:line="600" w:lineRule="exact"/>
        <w:ind w:firstLine="640" w:firstLineChars="200"/>
        <w:outlineLvl w:val="1"/>
        <w:rPr>
          <w:rFonts w:hint="eastAsia" w:ascii="黑体" w:hAnsi="黑体" w:eastAsia="黑体"/>
          <w:color w:val="auto"/>
          <w:sz w:val="32"/>
          <w:szCs w:val="32"/>
          <w:highlight w:val="none"/>
          <w:lang w:val="en-US" w:eastAsia="zh-CN"/>
        </w:rPr>
      </w:pPr>
    </w:p>
    <w:p>
      <w:pPr>
        <w:spacing w:line="600" w:lineRule="exact"/>
        <w:ind w:firstLine="640" w:firstLineChars="200"/>
        <w:outlineLvl w:val="1"/>
        <w:rPr>
          <w:rFonts w:hint="eastAsia" w:ascii="黑体" w:hAnsi="黑体" w:eastAsia="黑体"/>
          <w:color w:val="auto"/>
          <w:sz w:val="32"/>
          <w:szCs w:val="32"/>
          <w:highlight w:val="none"/>
          <w:lang w:val="en-US" w:eastAsia="zh-CN"/>
        </w:rPr>
      </w:pPr>
    </w:p>
    <w:p>
      <w:pPr>
        <w:spacing w:line="600" w:lineRule="exact"/>
        <w:ind w:firstLine="640" w:firstLineChars="200"/>
        <w:outlineLvl w:val="1"/>
        <w:rPr>
          <w:rFonts w:hint="eastAsia" w:ascii="黑体" w:hAnsi="黑体" w:eastAsia="黑体"/>
          <w:color w:val="auto"/>
          <w:sz w:val="32"/>
          <w:szCs w:val="32"/>
          <w:highlight w:val="none"/>
          <w:lang w:val="en-US" w:eastAsia="zh-CN"/>
        </w:rPr>
      </w:pPr>
    </w:p>
    <w:p>
      <w:pPr>
        <w:spacing w:line="600" w:lineRule="exact"/>
        <w:ind w:firstLine="640" w:firstLineChars="200"/>
        <w:outlineLvl w:val="1"/>
        <w:rPr>
          <w:rFonts w:hint="eastAsia" w:ascii="黑体" w:hAnsi="黑体" w:eastAsia="黑体"/>
          <w:color w:val="auto"/>
          <w:sz w:val="32"/>
          <w:szCs w:val="32"/>
          <w:highlight w:val="none"/>
          <w:lang w:val="en-US" w:eastAsia="zh-CN"/>
        </w:rPr>
      </w:pPr>
    </w:p>
    <w:p>
      <w:pPr>
        <w:spacing w:line="600" w:lineRule="exact"/>
        <w:ind w:firstLine="640" w:firstLineChars="200"/>
        <w:outlineLvl w:val="1"/>
        <w:rPr>
          <w:rFonts w:hint="eastAsia" w:ascii="黑体" w:hAnsi="黑体" w:eastAsia="黑体"/>
          <w:color w:val="auto"/>
          <w:sz w:val="32"/>
          <w:szCs w:val="32"/>
          <w:highlight w:val="none"/>
          <w:lang w:val="en-US" w:eastAsia="zh-CN"/>
        </w:rPr>
      </w:pPr>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、财</w:t>
      </w:r>
      <w:r>
        <w:rPr>
          <w:rStyle w:val="27"/>
          <w:rFonts w:hint="eastAsia" w:ascii="黑体" w:hAnsi="黑体" w:eastAsia="黑体"/>
          <w:b w:val="0"/>
          <w:color w:val="auto"/>
          <w:highlight w:val="none"/>
        </w:rPr>
        <w:t>政拨款收入支出决算总体情况说明</w:t>
      </w:r>
      <w:bookmarkEnd w:id="34"/>
      <w:bookmarkEnd w:id="35"/>
      <w:bookmarkEnd w:id="36"/>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233.87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val="en-US" w:eastAsia="zh-CN"/>
        </w:rPr>
        <w:t>增加27.31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增长13.22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2022年新增项目支出13.46万元；二是2022年人员经费增加</w:t>
      </w:r>
      <w:r>
        <w:rPr>
          <w:rFonts w:hint="eastAsia" w:ascii="仿宋" w:hAnsi="仿宋" w:eastAsia="仿宋"/>
          <w:color w:val="auto"/>
          <w:sz w:val="32"/>
          <w:szCs w:val="32"/>
          <w:highlight w:val="none"/>
          <w:lang w:eastAsia="zh-CN"/>
        </w:rPr>
        <w:t>。</w:t>
      </w:r>
    </w:p>
    <w:p>
      <w:pPr>
        <w:spacing w:line="600" w:lineRule="exact"/>
        <w:jc w:val="center"/>
        <w:rPr>
          <w:rFonts w:hint="eastAsia" w:ascii="黑体" w:hAnsi="黑体" w:eastAsia="黑体"/>
          <w:color w:val="auto"/>
          <w:sz w:val="32"/>
          <w:szCs w:val="32"/>
          <w:highlight w:val="none"/>
        </w:rPr>
      </w:pPr>
      <w:r>
        <w:drawing>
          <wp:anchor distT="0" distB="0" distL="114300" distR="114300" simplePos="0" relativeHeight="251663360" behindDoc="0" locked="0" layoutInCell="1" allowOverlap="1">
            <wp:simplePos x="0" y="0"/>
            <wp:positionH relativeFrom="column">
              <wp:posOffset>344170</wp:posOffset>
            </wp:positionH>
            <wp:positionV relativeFrom="paragraph">
              <wp:posOffset>436880</wp:posOffset>
            </wp:positionV>
            <wp:extent cx="4672965" cy="2279650"/>
            <wp:effectExtent l="4445" t="4445" r="8890" b="20955"/>
            <wp:wrapSquare wrapText="bothSides"/>
            <wp:docPr id="2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w:t>
      </w:r>
      <w:bookmarkStart w:id="37" w:name="_Toc15377209"/>
      <w:bookmarkStart w:id="38" w:name="_Toc25870"/>
      <w:bookmarkStart w:id="39" w:name="_Toc15396607"/>
    </w:p>
    <w:p>
      <w:pPr>
        <w:pStyle w:val="2"/>
        <w:ind w:left="0" w:leftChars="0" w:firstLine="640" w:firstLineChars="200"/>
        <w:rPr>
          <w:rStyle w:val="27"/>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7"/>
      <w:bookmarkEnd w:id="38"/>
      <w:bookmarkEnd w:id="39"/>
    </w:p>
    <w:p>
      <w:pPr>
        <w:spacing w:line="600" w:lineRule="exact"/>
        <w:ind w:firstLine="642" w:firstLineChars="200"/>
        <w:outlineLvl w:val="2"/>
        <w:rPr>
          <w:rFonts w:ascii="仿宋" w:hAnsi="仿宋" w:eastAsia="仿宋"/>
          <w:b/>
          <w:color w:val="auto"/>
          <w:sz w:val="32"/>
          <w:szCs w:val="32"/>
          <w:highlight w:val="none"/>
        </w:rPr>
      </w:pPr>
      <w:bookmarkStart w:id="40" w:name="_Toc15377210"/>
      <w:r>
        <w:rPr>
          <w:rFonts w:hint="eastAsia" w:ascii="仿宋" w:hAnsi="仿宋" w:eastAsia="仿宋"/>
          <w:b/>
          <w:color w:val="auto"/>
          <w:sz w:val="32"/>
          <w:szCs w:val="32"/>
          <w:highlight w:val="none"/>
        </w:rPr>
        <w:t>（一）一般公共预算财政拨款支出决算总体情况</w:t>
      </w:r>
      <w:bookmarkEnd w:id="40"/>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233.87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增加41.29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增加21.44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2022年新增项目支出13.46万元；二是2022年人员经费增加</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420" w:firstLineChars="200"/>
        <w:rPr>
          <w:rFonts w:ascii="仿宋" w:hAnsi="仿宋" w:eastAsia="仿宋"/>
          <w:b/>
          <w:color w:val="auto"/>
          <w:sz w:val="32"/>
          <w:szCs w:val="32"/>
          <w:highlight w:val="none"/>
        </w:rPr>
      </w:pPr>
      <w:r>
        <w:drawing>
          <wp:anchor distT="0" distB="0" distL="114300" distR="114300" simplePos="0" relativeHeight="251664384" behindDoc="0" locked="0" layoutInCell="1" allowOverlap="1">
            <wp:simplePos x="0" y="0"/>
            <wp:positionH relativeFrom="column">
              <wp:posOffset>516255</wp:posOffset>
            </wp:positionH>
            <wp:positionV relativeFrom="paragraph">
              <wp:posOffset>101600</wp:posOffset>
            </wp:positionV>
            <wp:extent cx="4368800" cy="2062480"/>
            <wp:effectExtent l="5080" t="4445" r="7620" b="9525"/>
            <wp:wrapSquare wrapText="bothSides"/>
            <wp:docPr id="2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41" w:name="_Toc15377211"/>
      <w:r>
        <w:rPr>
          <w:rFonts w:hint="eastAsia" w:ascii="仿宋" w:hAnsi="仿宋" w:eastAsia="仿宋"/>
          <w:b/>
          <w:color w:val="auto"/>
          <w:sz w:val="32"/>
          <w:szCs w:val="32"/>
          <w:highlight w:val="none"/>
        </w:rPr>
        <w:t>（二）一般公共预算财政拨款支出决算结构情况</w:t>
      </w:r>
      <w:bookmarkEnd w:id="41"/>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233.87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213.96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91.49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7.16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12.75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Style w:val="2"/>
        <w:rPr>
          <w:rFonts w:hint="eastAsia"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452120</wp:posOffset>
            </wp:positionH>
            <wp:positionV relativeFrom="paragraph">
              <wp:posOffset>40640</wp:posOffset>
            </wp:positionV>
            <wp:extent cx="4520565" cy="2134870"/>
            <wp:effectExtent l="4445" t="4445" r="8890" b="1333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outlineLvl w:val="2"/>
        <w:rPr>
          <w:rFonts w:hint="eastAsia" w:ascii="仿宋" w:hAnsi="仿宋" w:eastAsia="仿宋"/>
          <w:b/>
          <w:color w:val="auto"/>
          <w:sz w:val="32"/>
          <w:szCs w:val="32"/>
          <w:highlight w:val="none"/>
          <w:lang w:eastAsia="zh-CN"/>
        </w:rPr>
      </w:pPr>
      <w:bookmarkStart w:id="42" w:name="_Toc15377212"/>
    </w:p>
    <w:p>
      <w:pPr>
        <w:spacing w:line="600" w:lineRule="exac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三）一般公共预算财政拨款支出决算具体情况</w:t>
      </w:r>
      <w:bookmarkEnd w:id="42"/>
    </w:p>
    <w:p>
      <w:pPr>
        <w:spacing w:line="600" w:lineRule="exact"/>
        <w:ind w:firstLine="640" w:firstLineChars="200"/>
        <w:rPr>
          <w:rFonts w:hint="eastAsia" w:ascii="仿宋" w:hAnsi="仿宋" w:eastAsia="仿宋" w:cs="Times New Roman"/>
          <w:color w:val="auto"/>
          <w:sz w:val="32"/>
          <w:szCs w:val="32"/>
          <w:highlight w:val="none"/>
        </w:rPr>
      </w:pPr>
      <w:bookmarkStart w:id="43" w:name="_Toc15378460"/>
      <w:bookmarkStart w:id="44" w:name="_Toc15377444"/>
      <w:bookmarkStart w:id="45" w:name="_Toc15377213"/>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w:t>
      </w:r>
      <w:r>
        <w:rPr>
          <w:rFonts w:hint="eastAsia" w:ascii="仿宋" w:hAnsi="仿宋" w:eastAsia="仿宋" w:cs="Times New Roman"/>
          <w:color w:val="auto"/>
          <w:sz w:val="32"/>
          <w:szCs w:val="32"/>
          <w:highlight w:val="none"/>
          <w:lang w:eastAsia="zh-CN"/>
        </w:rPr>
        <w:t>一</w:t>
      </w:r>
      <w:r>
        <w:rPr>
          <w:rFonts w:hint="eastAsia" w:ascii="仿宋" w:hAnsi="仿宋" w:eastAsia="仿宋" w:cs="Times New Roman"/>
          <w:color w:val="auto"/>
          <w:sz w:val="32"/>
          <w:szCs w:val="32"/>
          <w:highlight w:val="none"/>
        </w:rPr>
        <w:t>般公共预算支出决算数为</w:t>
      </w:r>
      <w:r>
        <w:rPr>
          <w:rFonts w:hint="eastAsia" w:ascii="仿宋" w:hAnsi="仿宋" w:eastAsia="仿宋" w:cs="Times New Roman"/>
          <w:color w:val="auto"/>
          <w:sz w:val="32"/>
          <w:szCs w:val="32"/>
          <w:highlight w:val="none"/>
          <w:lang w:val="en-US" w:eastAsia="zh-CN"/>
        </w:rPr>
        <w:t>233.87</w:t>
      </w:r>
      <w:r>
        <w:rPr>
          <w:rFonts w:hint="eastAsia" w:ascii="仿宋" w:hAnsi="仿宋" w:eastAsia="仿宋" w:cs="Times New Roman"/>
          <w:color w:val="auto"/>
          <w:sz w:val="32"/>
          <w:szCs w:val="32"/>
          <w:highlight w:val="none"/>
        </w:rPr>
        <w:t>，完成预算</w:t>
      </w:r>
      <w:r>
        <w:rPr>
          <w:rFonts w:hint="eastAsia" w:ascii="仿宋" w:hAnsi="仿宋" w:eastAsia="仿宋" w:cs="Times New Roman"/>
          <w:color w:val="auto"/>
          <w:sz w:val="32"/>
          <w:szCs w:val="32"/>
          <w:highlight w:val="none"/>
          <w:lang w:val="en-US" w:eastAsia="zh-CN"/>
        </w:rPr>
        <w:t>100</w:t>
      </w:r>
      <w:r>
        <w:rPr>
          <w:rFonts w:hint="eastAsia" w:ascii="仿宋" w:hAnsi="仿宋" w:eastAsia="仿宋" w:cs="Times New Roman"/>
          <w:color w:val="auto"/>
          <w:sz w:val="32"/>
          <w:szCs w:val="32"/>
          <w:highlight w:val="none"/>
        </w:rPr>
        <w:t>%。其中：</w:t>
      </w:r>
      <w:bookmarkEnd w:id="43"/>
      <w:bookmarkEnd w:id="44"/>
      <w:bookmarkEnd w:id="45"/>
    </w:p>
    <w:p>
      <w:pPr>
        <w:spacing w:line="600" w:lineRule="exact"/>
        <w:ind w:firstLine="642" w:firstLineChars="200"/>
        <w:rPr>
          <w:rFonts w:hint="eastAsia" w:ascii="仿宋_GB2312" w:hAnsi="仿宋_GB2312" w:eastAsia="仿宋_GB2312" w:cs="仿宋_GB2312"/>
          <w:b/>
          <w:color w:val="auto"/>
          <w:sz w:val="32"/>
          <w:szCs w:val="32"/>
          <w:highlight w:val="none"/>
        </w:rPr>
      </w:pPr>
      <w:r>
        <w:rPr>
          <w:rStyle w:val="16"/>
          <w:rFonts w:hint="eastAsia" w:ascii="仿宋_GB2312" w:hAnsi="仿宋_GB2312" w:eastAsia="仿宋_GB2312" w:cs="仿宋_GB2312"/>
          <w:bCs/>
          <w:color w:val="auto"/>
          <w:sz w:val="32"/>
          <w:szCs w:val="32"/>
          <w:highlight w:val="none"/>
        </w:rPr>
        <w:t>1.社会保障和就业（类）人力资源和社会保障管理事务（款） 事业运行（项）</w:t>
      </w:r>
      <w:r>
        <w:rPr>
          <w:rStyle w:val="16"/>
          <w:rFonts w:hint="eastAsia" w:ascii="仿宋_GB2312" w:hAnsi="仿宋_GB2312" w:eastAsia="仿宋_GB2312" w:cs="仿宋_GB2312"/>
          <w:bCs/>
          <w:color w:val="auto"/>
          <w:sz w:val="32"/>
          <w:szCs w:val="32"/>
          <w:highlight w:val="none"/>
          <w:lang w:eastAsia="zh-CN"/>
        </w:rPr>
        <w:t>：</w:t>
      </w:r>
      <w:r>
        <w:rPr>
          <w:rStyle w:val="16"/>
          <w:rFonts w:hint="eastAsia" w:ascii="仿宋_GB2312" w:hAnsi="仿宋_GB2312" w:eastAsia="仿宋_GB2312" w:cs="仿宋_GB2312"/>
          <w:b w:val="0"/>
          <w:bCs/>
          <w:color w:val="auto"/>
          <w:sz w:val="32"/>
          <w:szCs w:val="32"/>
          <w:highlight w:val="none"/>
        </w:rPr>
        <w:t xml:space="preserve"> 支出决算为</w:t>
      </w:r>
      <w:r>
        <w:rPr>
          <w:rStyle w:val="16"/>
          <w:rFonts w:hint="eastAsia" w:ascii="仿宋_GB2312" w:hAnsi="仿宋_GB2312" w:eastAsia="仿宋_GB2312" w:cs="仿宋_GB2312"/>
          <w:b w:val="0"/>
          <w:bCs/>
          <w:color w:val="auto"/>
          <w:sz w:val="32"/>
          <w:szCs w:val="32"/>
          <w:highlight w:val="none"/>
          <w:lang w:val="en-US" w:eastAsia="zh-CN"/>
        </w:rPr>
        <w:t>147.4</w:t>
      </w:r>
      <w:r>
        <w:rPr>
          <w:rStyle w:val="16"/>
          <w:rFonts w:hint="eastAsia" w:ascii="仿宋_GB2312" w:hAnsi="仿宋_GB2312" w:eastAsia="仿宋_GB2312" w:cs="仿宋_GB2312"/>
          <w:b w:val="0"/>
          <w:bCs/>
          <w:color w:val="auto"/>
          <w:sz w:val="32"/>
          <w:szCs w:val="32"/>
          <w:highlight w:val="none"/>
        </w:rPr>
        <w:t>万元，完成预算</w:t>
      </w:r>
      <w:r>
        <w:rPr>
          <w:rStyle w:val="16"/>
          <w:rFonts w:hint="eastAsia" w:ascii="仿宋_GB2312" w:hAnsi="仿宋_GB2312" w:eastAsia="仿宋_GB2312" w:cs="仿宋_GB2312"/>
          <w:b w:val="0"/>
          <w:bCs/>
          <w:color w:val="auto"/>
          <w:sz w:val="32"/>
          <w:szCs w:val="32"/>
          <w:highlight w:val="none"/>
          <w:lang w:val="en-US" w:eastAsia="zh-CN"/>
        </w:rPr>
        <w:t>100</w:t>
      </w:r>
      <w:r>
        <w:rPr>
          <w:rStyle w:val="16"/>
          <w:rFonts w:hint="eastAsia" w:ascii="仿宋_GB2312" w:hAnsi="仿宋_GB2312" w:eastAsia="仿宋_GB2312" w:cs="仿宋_GB2312"/>
          <w:b w:val="0"/>
          <w:bCs/>
          <w:color w:val="auto"/>
          <w:sz w:val="32"/>
          <w:szCs w:val="32"/>
          <w:highlight w:val="none"/>
        </w:rPr>
        <w:t>%。</w:t>
      </w:r>
    </w:p>
    <w:p>
      <w:pPr>
        <w:spacing w:line="600" w:lineRule="exact"/>
        <w:ind w:firstLine="642" w:firstLineChars="200"/>
        <w:rPr>
          <w:rStyle w:val="16"/>
          <w:rFonts w:ascii="仿宋" w:hAnsi="仿宋" w:eastAsia="仿宋"/>
          <w:bCs/>
          <w:color w:val="auto"/>
          <w:sz w:val="32"/>
          <w:szCs w:val="32"/>
          <w:highlight w:val="none"/>
        </w:rPr>
      </w:pPr>
      <w:r>
        <w:rPr>
          <w:rStyle w:val="16"/>
          <w:rFonts w:hint="eastAsia" w:ascii="仿宋_GB2312" w:hAnsi="仿宋_GB2312" w:eastAsia="仿宋_GB2312" w:cs="仿宋_GB2312"/>
          <w:bCs/>
          <w:color w:val="auto"/>
          <w:sz w:val="32"/>
          <w:szCs w:val="32"/>
          <w:highlight w:val="none"/>
        </w:rPr>
        <w:t>2.社会保障和就业（类）人力资源和社会保障管理事务（款）其他人力资源和社会保障管理事务支出（项）</w:t>
      </w:r>
      <w:r>
        <w:rPr>
          <w:rStyle w:val="16"/>
          <w:rFonts w:hint="eastAsia" w:ascii="仿宋_GB2312" w:hAnsi="仿宋_GB2312" w:eastAsia="仿宋_GB2312" w:cs="仿宋_GB2312"/>
          <w:bCs/>
          <w:color w:val="auto"/>
          <w:sz w:val="32"/>
          <w:szCs w:val="32"/>
          <w:highlight w:val="none"/>
          <w:lang w:eastAsia="zh-CN"/>
        </w:rPr>
        <w:t>：</w:t>
      </w:r>
      <w:r>
        <w:rPr>
          <w:rStyle w:val="16"/>
          <w:rFonts w:hint="eastAsia" w:ascii="仿宋_GB2312" w:hAnsi="仿宋_GB2312" w:eastAsia="仿宋_GB2312" w:cs="仿宋_GB2312"/>
          <w:b w:val="0"/>
          <w:bCs/>
          <w:color w:val="auto"/>
          <w:sz w:val="32"/>
          <w:szCs w:val="32"/>
          <w:highlight w:val="none"/>
        </w:rPr>
        <w:t xml:space="preserve"> 支出决算为</w:t>
      </w:r>
      <w:r>
        <w:rPr>
          <w:rStyle w:val="16"/>
          <w:rFonts w:hint="eastAsia" w:ascii="仿宋_GB2312" w:hAnsi="仿宋_GB2312" w:eastAsia="仿宋_GB2312" w:cs="仿宋_GB2312"/>
          <w:b w:val="0"/>
          <w:bCs/>
          <w:color w:val="auto"/>
          <w:sz w:val="32"/>
          <w:szCs w:val="32"/>
          <w:highlight w:val="none"/>
          <w:lang w:val="en-US" w:eastAsia="zh-CN"/>
        </w:rPr>
        <w:t>53.46</w:t>
      </w:r>
      <w:r>
        <w:rPr>
          <w:rStyle w:val="16"/>
          <w:rFonts w:hint="eastAsia" w:ascii="仿宋_GB2312" w:hAnsi="仿宋_GB2312" w:eastAsia="仿宋_GB2312" w:cs="仿宋_GB2312"/>
          <w:b w:val="0"/>
          <w:bCs/>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2" w:firstLineChars="200"/>
        <w:rPr>
          <w:rStyle w:val="16"/>
          <w:rFonts w:hint="eastAsia" w:ascii="仿宋" w:hAnsi="仿宋" w:eastAsia="仿宋"/>
          <w:b w:val="0"/>
          <w:bCs/>
          <w:color w:val="auto"/>
          <w:sz w:val="32"/>
          <w:szCs w:val="32"/>
          <w:highlight w:val="none"/>
        </w:rPr>
      </w:pPr>
      <w:r>
        <w:rPr>
          <w:rStyle w:val="16"/>
          <w:rFonts w:hint="eastAsia" w:ascii="仿宋_GB2312" w:hAnsi="仿宋_GB2312" w:eastAsia="仿宋_GB2312" w:cs="仿宋_GB2312"/>
          <w:bCs/>
          <w:color w:val="auto"/>
          <w:sz w:val="32"/>
          <w:szCs w:val="32"/>
          <w:highlight w:val="none"/>
        </w:rPr>
        <w:t>3.</w:t>
      </w:r>
      <w:r>
        <w:rPr>
          <w:rStyle w:val="16"/>
          <w:rFonts w:hint="eastAsia" w:ascii="仿宋_GB2312" w:hAnsi="仿宋_GB2312" w:eastAsia="仿宋_GB2312" w:cs="仿宋_GB2312"/>
          <w:bCs/>
          <w:color w:val="000000"/>
          <w:sz w:val="32"/>
          <w:szCs w:val="32"/>
        </w:rPr>
        <w:t>社会保障和就业支出（类）行政事业单位养老支出（款）机关事业单位基本养老保险缴费支出（项）</w:t>
      </w:r>
      <w:r>
        <w:rPr>
          <w:rStyle w:val="16"/>
          <w:rFonts w:hint="eastAsia" w:ascii="仿宋_GB2312" w:hAnsi="仿宋_GB2312" w:eastAsia="仿宋_GB2312" w:cs="仿宋_GB2312"/>
          <w:bCs/>
          <w:color w:val="000000"/>
          <w:sz w:val="32"/>
          <w:szCs w:val="32"/>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13.10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2" w:firstLineChars="200"/>
        <w:rPr>
          <w:rStyle w:val="16"/>
          <w:rFonts w:hint="eastAsia" w:ascii="仿宋" w:hAnsi="仿宋" w:eastAsia="仿宋"/>
          <w:bCs/>
          <w:color w:val="auto"/>
          <w:sz w:val="32"/>
          <w:szCs w:val="32"/>
          <w:highlight w:val="none"/>
        </w:rPr>
      </w:pPr>
      <w:r>
        <w:rPr>
          <w:rStyle w:val="16"/>
          <w:rFonts w:hint="eastAsia" w:ascii="仿宋_GB2312" w:hAnsi="仿宋_GB2312" w:eastAsia="仿宋_GB2312" w:cs="仿宋_GB2312"/>
          <w:bCs/>
          <w:color w:val="auto"/>
          <w:sz w:val="32"/>
          <w:szCs w:val="32"/>
          <w:highlight w:val="none"/>
        </w:rPr>
        <w:t>4.</w:t>
      </w:r>
      <w:r>
        <w:rPr>
          <w:rStyle w:val="16"/>
          <w:rFonts w:hint="eastAsia" w:ascii="仿宋_GB2312" w:hAnsi="仿宋_GB2312" w:eastAsia="仿宋_GB2312" w:cs="仿宋_GB2312"/>
          <w:bCs/>
          <w:color w:val="000000"/>
          <w:sz w:val="32"/>
          <w:szCs w:val="32"/>
        </w:rPr>
        <w:t>卫生健康支出（类）行政事业单位医疗（款）</w:t>
      </w:r>
      <w:r>
        <w:rPr>
          <w:rStyle w:val="16"/>
          <w:rFonts w:hint="eastAsia" w:ascii="仿宋_GB2312" w:hAnsi="仿宋_GB2312" w:eastAsia="仿宋_GB2312" w:cs="仿宋_GB2312"/>
          <w:bCs/>
          <w:color w:val="000000"/>
          <w:sz w:val="32"/>
          <w:szCs w:val="32"/>
          <w:lang w:eastAsia="zh-CN"/>
        </w:rPr>
        <w:t>行政</w:t>
      </w:r>
      <w:r>
        <w:rPr>
          <w:rStyle w:val="16"/>
          <w:rFonts w:hint="eastAsia" w:ascii="仿宋_GB2312" w:hAnsi="仿宋_GB2312" w:eastAsia="仿宋_GB2312" w:cs="仿宋_GB2312"/>
          <w:bCs/>
          <w:color w:val="000000"/>
          <w:sz w:val="32"/>
          <w:szCs w:val="32"/>
        </w:rPr>
        <w:t>单位医疗（项）</w:t>
      </w:r>
      <w:r>
        <w:rPr>
          <w:rStyle w:val="16"/>
          <w:rFonts w:hint="eastAsia" w:ascii="仿宋_GB2312" w:hAnsi="仿宋_GB2312" w:eastAsia="仿宋_GB2312" w:cs="仿宋_GB2312"/>
          <w:bCs/>
          <w:color w:val="000000"/>
          <w:sz w:val="32"/>
          <w:szCs w:val="32"/>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7.16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6"/>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
          <w:bCs/>
          <w:color w:val="000000"/>
          <w:sz w:val="32"/>
          <w:szCs w:val="32"/>
        </w:rPr>
        <w:t>住房保障支出</w:t>
      </w:r>
      <w:r>
        <w:rPr>
          <w:rStyle w:val="16"/>
          <w:rFonts w:hint="eastAsia" w:ascii="仿宋_GB2312" w:hAnsi="仿宋_GB2312" w:eastAsia="仿宋_GB2312" w:cs="仿宋_GB2312"/>
          <w:bCs/>
          <w:color w:val="000000"/>
          <w:sz w:val="32"/>
          <w:szCs w:val="32"/>
        </w:rPr>
        <w:t>（类）住房改革支出（款）住房公积金（项）</w:t>
      </w:r>
      <w:r>
        <w:rPr>
          <w:rStyle w:val="16"/>
          <w:rFonts w:hint="eastAsia" w:ascii="仿宋_GB2312" w:hAnsi="仿宋_GB2312" w:eastAsia="仿宋_GB2312" w:cs="仿宋_GB2312"/>
          <w:bCs/>
          <w:color w:val="000000"/>
          <w:sz w:val="32"/>
          <w:szCs w:val="32"/>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12.75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7"/>
          <w:color w:val="auto"/>
          <w:highlight w:val="none"/>
        </w:rPr>
      </w:pPr>
      <w:bookmarkStart w:id="46" w:name="_Toc15377214"/>
      <w:bookmarkStart w:id="47" w:name="_Toc29358"/>
      <w:bookmarkStart w:id="48"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6"/>
      <w:bookmarkEnd w:id="47"/>
      <w:bookmarkEnd w:id="48"/>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180.41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161.61</w:t>
      </w:r>
      <w:r>
        <w:rPr>
          <w:rFonts w:hint="eastAsia" w:ascii="仿宋" w:hAnsi="仿宋" w:eastAsia="仿宋"/>
          <w:color w:val="auto"/>
          <w:sz w:val="32"/>
          <w:szCs w:val="32"/>
          <w:highlight w:val="none"/>
        </w:rPr>
        <w:t>万元，主要包括：</w:t>
      </w:r>
      <w:r>
        <w:rPr>
          <w:rFonts w:hint="eastAsia" w:ascii="仿宋_GB2312" w:hAnsi="仿宋_GB2312" w:eastAsia="仿宋_GB2312" w:cs="仿宋_GB2312"/>
          <w:color w:val="auto"/>
          <w:sz w:val="32"/>
          <w:szCs w:val="32"/>
          <w:highlight w:val="none"/>
        </w:rPr>
        <w:t>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其他社会保障缴费、其他工资福利支出、住房公积金、其他对个人和家庭的补助支出等。</w:t>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18.8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水费</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电费</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物业管理费</w:t>
      </w:r>
      <w:r>
        <w:rPr>
          <w:rFonts w:hint="eastAsia" w:ascii="仿宋" w:hAnsi="仿宋" w:eastAsia="仿宋"/>
          <w:color w:val="auto"/>
          <w:sz w:val="32"/>
          <w:szCs w:val="32"/>
          <w:highlight w:val="none"/>
        </w:rPr>
        <w:t>、差旅费、</w:t>
      </w:r>
      <w:r>
        <w:rPr>
          <w:rFonts w:hint="eastAsia" w:ascii="仿宋_GB2312" w:hAnsi="仿宋_GB2312" w:eastAsia="仿宋_GB2312" w:cs="仿宋_GB2312"/>
          <w:color w:val="auto"/>
          <w:sz w:val="32"/>
          <w:szCs w:val="32"/>
          <w:highlight w:val="none"/>
        </w:rPr>
        <w:t>维修（护）费、劳务费、委托业务费、工会经费、</w:t>
      </w:r>
      <w:r>
        <w:rPr>
          <w:rFonts w:hint="eastAsia" w:ascii="仿宋" w:hAnsi="仿宋" w:eastAsia="仿宋"/>
          <w:color w:val="auto"/>
          <w:sz w:val="32"/>
          <w:szCs w:val="32"/>
          <w:highlight w:val="none"/>
        </w:rPr>
        <w:t>福利费、其他交通费、其他商品和服务支出等。</w:t>
      </w:r>
    </w:p>
    <w:p>
      <w:pPr>
        <w:spacing w:line="600" w:lineRule="exact"/>
        <w:ind w:firstLine="640"/>
        <w:outlineLvl w:val="1"/>
        <w:rPr>
          <w:rStyle w:val="27"/>
          <w:rFonts w:ascii="黑体" w:hAnsi="黑体" w:eastAsia="黑体"/>
          <w:b w:val="0"/>
          <w:color w:val="auto"/>
          <w:highlight w:val="none"/>
        </w:rPr>
      </w:pPr>
      <w:bookmarkStart w:id="49" w:name="_Toc15377215"/>
      <w:bookmarkStart w:id="50" w:name="_Toc15396609"/>
      <w:bookmarkStart w:id="51" w:name="_Toc31354"/>
      <w:r>
        <w:rPr>
          <w:rFonts w:hint="eastAsia" w:ascii="黑体" w:eastAsia="黑体"/>
          <w:color w:val="auto"/>
          <w:sz w:val="32"/>
          <w:szCs w:val="32"/>
          <w:highlight w:val="none"/>
        </w:rPr>
        <w:t>七、</w:t>
      </w:r>
      <w:r>
        <w:rPr>
          <w:rStyle w:val="27"/>
          <w:rFonts w:hint="eastAsia" w:ascii="黑体" w:hAnsi="黑体" w:eastAsia="黑体"/>
          <w:b w:val="0"/>
          <w:color w:val="auto"/>
          <w:highlight w:val="none"/>
        </w:rPr>
        <w:t>财政拨款</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三公”经费支出决算情况说明</w:t>
      </w:r>
      <w:bookmarkEnd w:id="49"/>
      <w:bookmarkEnd w:id="50"/>
      <w:bookmarkEnd w:id="51"/>
    </w:p>
    <w:p>
      <w:pPr>
        <w:spacing w:line="600" w:lineRule="exact"/>
        <w:ind w:firstLine="640"/>
        <w:outlineLvl w:val="2"/>
        <w:rPr>
          <w:rFonts w:ascii="仿宋" w:hAnsi="仿宋" w:eastAsia="仿宋"/>
          <w:b/>
          <w:color w:val="auto"/>
          <w:sz w:val="32"/>
          <w:szCs w:val="32"/>
          <w:highlight w:val="none"/>
        </w:rPr>
      </w:pPr>
      <w:bookmarkStart w:id="52" w:name="_Toc15377216"/>
      <w:r>
        <w:rPr>
          <w:rFonts w:hint="eastAsia" w:ascii="仿宋" w:hAnsi="仿宋" w:eastAsia="仿宋"/>
          <w:b/>
          <w:color w:val="auto"/>
          <w:sz w:val="32"/>
          <w:szCs w:val="32"/>
          <w:highlight w:val="none"/>
        </w:rPr>
        <w:t>（一）“三公”经费财政拨款支出决算总体情况说明</w:t>
      </w:r>
      <w:bookmarkEnd w:id="52"/>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减少1.93万元，下降100%。</w:t>
      </w:r>
    </w:p>
    <w:p>
      <w:pPr>
        <w:spacing w:line="600" w:lineRule="exact"/>
        <w:ind w:firstLine="640"/>
        <w:outlineLvl w:val="2"/>
        <w:rPr>
          <w:rFonts w:ascii="仿宋" w:hAnsi="仿宋" w:eastAsia="仿宋"/>
          <w:b/>
          <w:color w:val="auto"/>
          <w:sz w:val="32"/>
          <w:szCs w:val="32"/>
          <w:highlight w:val="none"/>
        </w:rPr>
      </w:pPr>
      <w:bookmarkStart w:id="53" w:name="_Toc15377217"/>
      <w:r>
        <w:rPr>
          <w:rFonts w:hint="eastAsia" w:ascii="仿宋" w:hAnsi="仿宋" w:eastAsia="仿宋"/>
          <w:b/>
          <w:color w:val="auto"/>
          <w:sz w:val="32"/>
          <w:szCs w:val="32"/>
          <w:highlight w:val="none"/>
        </w:rPr>
        <w:t>（二）“三公”经费财政拨款支出决算具体情况说明</w:t>
      </w:r>
      <w:bookmarkEnd w:id="5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325120</wp:posOffset>
            </wp:positionH>
            <wp:positionV relativeFrom="paragraph">
              <wp:posOffset>208915</wp:posOffset>
            </wp:positionV>
            <wp:extent cx="4371340" cy="1808480"/>
            <wp:effectExtent l="4445" t="4445" r="5715" b="1587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hAnsi="仿宋" w:eastAsia="仿宋"/>
          <w:color w:val="auto"/>
          <w:sz w:val="32"/>
          <w:szCs w:val="32"/>
          <w:highlight w:val="none"/>
          <w:lang w:eastAsia="zh-CN"/>
        </w:rPr>
      </w:pPr>
    </w:p>
    <w:p>
      <w:pPr>
        <w:spacing w:line="600" w:lineRule="exact"/>
        <w:rPr>
          <w:rFonts w:ascii="仿宋_GB2312" w:eastAsia="仿宋_GB2312"/>
          <w:b/>
          <w:color w:val="auto"/>
          <w:sz w:val="32"/>
          <w:szCs w:val="32"/>
          <w:highlight w:val="none"/>
        </w:rPr>
      </w:pPr>
    </w:p>
    <w:p>
      <w:pPr>
        <w:pStyle w:val="2"/>
        <w:rPr>
          <w:rFonts w:ascii="仿宋_GB2312" w:eastAsia="仿宋_GB2312"/>
          <w:b/>
          <w:color w:val="auto"/>
          <w:sz w:val="32"/>
          <w:szCs w:val="32"/>
          <w:highlight w:val="none"/>
        </w:rPr>
      </w:pPr>
    </w:p>
    <w:p>
      <w:pPr>
        <w:pStyle w:val="2"/>
        <w:rPr>
          <w:rFonts w:ascii="仿宋_GB2312" w:eastAsia="仿宋_GB2312"/>
          <w:b/>
          <w:color w:val="auto"/>
          <w:sz w:val="32"/>
          <w:szCs w:val="32"/>
          <w:highlight w:val="none"/>
        </w:rPr>
      </w:pPr>
    </w:p>
    <w:p>
      <w:pPr>
        <w:pStyle w:val="2"/>
        <w:rPr>
          <w:rFonts w:ascii="仿宋_GB2312" w:eastAsia="仿宋_GB2312"/>
          <w:b/>
          <w:color w:val="auto"/>
          <w:sz w:val="32"/>
          <w:szCs w:val="32"/>
          <w:highlight w:val="none"/>
        </w:rPr>
      </w:pPr>
    </w:p>
    <w:p>
      <w:pPr>
        <w:spacing w:line="600" w:lineRule="exact"/>
        <w:ind w:firstLine="640"/>
        <w:rPr>
          <w:rFonts w:hint="default" w:ascii="仿宋_GB2312" w:eastAsia="仿宋_GB2312"/>
          <w:b/>
          <w:color w:val="auto"/>
          <w:sz w:val="32"/>
          <w:szCs w:val="32"/>
          <w:highlight w:val="none"/>
          <w:lang w:val="en-US"/>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b/>
          <w:color w:val="auto"/>
          <w:sz w:val="32"/>
          <w:szCs w:val="32"/>
          <w:highlight w:val="none"/>
        </w:rPr>
        <w:t>万元，</w:t>
      </w:r>
      <w:r>
        <w:rPr>
          <w:rFonts w:hint="eastAsia" w:ascii="仿宋_GB2312" w:eastAsia="仿宋_GB2312"/>
          <w:b/>
          <w:color w:val="auto"/>
          <w:sz w:val="32"/>
          <w:szCs w:val="32"/>
          <w:highlight w:val="none"/>
          <w:lang w:val="en-US" w:eastAsia="zh-CN"/>
        </w:rPr>
        <w:t>年初未安排预算。</w:t>
      </w:r>
    </w:p>
    <w:p>
      <w:pPr>
        <w:spacing w:line="600" w:lineRule="exact"/>
        <w:ind w:firstLine="640"/>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lang w:eastAsia="zh-CN"/>
        </w:rPr>
        <w:t>年初未安排预算。</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厉行节约，减少接待支出</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2"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Style w:val="27"/>
          <w:rFonts w:ascii="黑体" w:hAnsi="黑体" w:eastAsia="黑体"/>
          <w:color w:val="auto"/>
          <w:highlight w:val="none"/>
        </w:rPr>
      </w:pPr>
      <w:bookmarkStart w:id="54" w:name="_Toc15396610"/>
      <w:bookmarkStart w:id="55" w:name="_Toc22337"/>
      <w:bookmarkStart w:id="56" w:name="_Toc15377218"/>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54"/>
      <w:bookmarkEnd w:id="55"/>
      <w:bookmarkEnd w:id="56"/>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pPr>
    </w:p>
    <w:p>
      <w:pPr>
        <w:numPr>
          <w:ilvl w:val="0"/>
          <w:numId w:val="1"/>
        </w:numPr>
        <w:spacing w:line="600" w:lineRule="exact"/>
        <w:ind w:firstLine="640"/>
        <w:outlineLvl w:val="1"/>
        <w:rPr>
          <w:rStyle w:val="27"/>
          <w:rFonts w:ascii="黑体" w:hAnsi="黑体" w:eastAsia="黑体"/>
          <w:b w:val="0"/>
          <w:color w:val="auto"/>
          <w:highlight w:val="none"/>
        </w:rPr>
      </w:pPr>
      <w:bookmarkStart w:id="57" w:name="_Toc4566"/>
      <w:bookmarkStart w:id="58" w:name="_Toc15396611"/>
      <w:bookmarkStart w:id="59" w:name="_Toc15377219"/>
      <w:r>
        <w:rPr>
          <w:rStyle w:val="27"/>
          <w:rFonts w:hint="eastAsia" w:ascii="黑体" w:hAnsi="黑体" w:eastAsia="黑体"/>
          <w:b w:val="0"/>
          <w:color w:val="auto"/>
          <w:highlight w:val="none"/>
        </w:rPr>
        <w:t>国有资本经营预算支出决算情况说明</w:t>
      </w:r>
      <w:bookmarkEnd w:id="57"/>
      <w:bookmarkEnd w:id="58"/>
      <w:bookmarkEnd w:id="5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both"/>
        <w:rPr>
          <w:rFonts w:ascii="方正小标宋简体" w:hAnsi="方正小标宋简体" w:eastAsia="方正小标宋简体" w:cs="方正小标宋简体"/>
          <w:color w:val="auto"/>
          <w:sz w:val="44"/>
          <w:szCs w:val="44"/>
          <w:highlight w:val="none"/>
        </w:rPr>
      </w:pPr>
    </w:p>
    <w:p>
      <w:pPr>
        <w:numPr>
          <w:ilvl w:val="0"/>
          <w:numId w:val="1"/>
        </w:numPr>
        <w:spacing w:line="600" w:lineRule="exact"/>
        <w:ind w:firstLine="640"/>
        <w:outlineLvl w:val="1"/>
        <w:rPr>
          <w:rStyle w:val="27"/>
          <w:rFonts w:hint="eastAsia" w:ascii="黑体" w:hAnsi="黑体" w:eastAsia="黑体"/>
          <w:b w:val="0"/>
          <w:color w:val="auto"/>
          <w:highlight w:val="none"/>
        </w:rPr>
      </w:pPr>
      <w:bookmarkStart w:id="60" w:name="_Toc9992"/>
      <w:bookmarkStart w:id="61" w:name="_Toc15377221"/>
      <w:bookmarkStart w:id="62" w:name="_Toc15396612"/>
      <w:r>
        <w:rPr>
          <w:rStyle w:val="27"/>
          <w:rFonts w:hint="eastAsia" w:ascii="黑体" w:hAnsi="黑体" w:eastAsia="黑体"/>
          <w:b w:val="0"/>
          <w:color w:val="auto"/>
          <w:highlight w:val="none"/>
        </w:rPr>
        <w:t>其他重要事项的情况说明</w:t>
      </w:r>
      <w:bookmarkEnd w:id="60"/>
      <w:bookmarkEnd w:id="61"/>
      <w:bookmarkEnd w:id="62"/>
    </w:p>
    <w:p>
      <w:pPr>
        <w:spacing w:line="600" w:lineRule="exact"/>
        <w:ind w:firstLine="642" w:firstLineChars="200"/>
        <w:outlineLvl w:val="2"/>
        <w:rPr>
          <w:rFonts w:ascii="仿宋" w:hAnsi="仿宋" w:eastAsia="仿宋"/>
          <w:color w:val="auto"/>
          <w:sz w:val="32"/>
          <w:szCs w:val="32"/>
          <w:highlight w:val="none"/>
        </w:rPr>
      </w:pPr>
      <w:bookmarkStart w:id="63" w:name="_Toc15377222"/>
      <w:r>
        <w:rPr>
          <w:rFonts w:hint="eastAsia" w:ascii="仿宋" w:hAnsi="仿宋" w:eastAsia="仿宋"/>
          <w:b/>
          <w:color w:val="auto"/>
          <w:sz w:val="32"/>
          <w:szCs w:val="32"/>
          <w:highlight w:val="none"/>
        </w:rPr>
        <w:t>（一）机关运行经费支出情况</w:t>
      </w:r>
      <w:bookmarkEnd w:id="63"/>
    </w:p>
    <w:p>
      <w:pPr>
        <w:spacing w:line="576" w:lineRule="exact"/>
        <w:ind w:firstLine="640" w:firstLineChars="200"/>
        <w:rPr>
          <w:rFonts w:hint="default" w:ascii="仿宋" w:hAnsi="仿宋" w:eastAsia="仿宋" w:cs="Times New Roman"/>
          <w:color w:val="000000"/>
          <w:sz w:val="32"/>
          <w:szCs w:val="32"/>
          <w:lang w:val="en-US" w:eastAsia="zh-CN"/>
        </w:rPr>
      </w:pPr>
      <w:bookmarkStart w:id="64" w:name="_Toc15377223"/>
      <w:r>
        <w:rPr>
          <w:rFonts w:hint="eastAsia" w:ascii="仿宋_GB2312" w:hAnsi="仿宋_GB2312" w:eastAsia="仿宋_GB2312" w:cs="仿宋_GB2312"/>
          <w:color w:val="000000"/>
          <w:sz w:val="32"/>
          <w:szCs w:val="32"/>
          <w:lang w:eastAsia="zh-CN"/>
        </w:rPr>
        <w:t>本单位未发生机关运行经费</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64"/>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广元市人事考试中心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5" w:name="_Toc15377224"/>
      <w:r>
        <w:rPr>
          <w:rFonts w:hint="eastAsia" w:ascii="仿宋" w:hAnsi="仿宋" w:eastAsia="仿宋"/>
          <w:b/>
          <w:color w:val="auto"/>
          <w:sz w:val="32"/>
          <w:szCs w:val="32"/>
          <w:highlight w:val="none"/>
        </w:rPr>
        <w:t>（三）国有资产占有使用情况</w:t>
      </w:r>
      <w:bookmarkEnd w:id="65"/>
    </w:p>
    <w:p>
      <w:pPr>
        <w:autoSpaceDE w:val="0"/>
        <w:autoSpaceDN w:val="0"/>
        <w:adjustRightInd w:val="0"/>
        <w:spacing w:line="600" w:lineRule="exact"/>
        <w:ind w:firstLine="640" w:firstLineChars="200"/>
        <w:jc w:val="left"/>
        <w:rPr>
          <w:rFonts w:hint="eastAsia" w:ascii="仿宋" w:hAnsi="仿宋" w:eastAsia="仿宋_GB2312"/>
          <w:b/>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hAnsi="仿宋_GB2312" w:eastAsia="仿宋_GB2312" w:cs="仿宋_GB2312"/>
          <w:color w:val="000000"/>
          <w:sz w:val="32"/>
          <w:szCs w:val="32"/>
        </w:rPr>
        <w:t>，广元市人事考试中心共有车辆</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辆，为特种专业技术用车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主要用于20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年全年人事考试工作任务运送试卷。单价50万元以上通用设备0台（套），单价100万元以上专用设备0台（套）</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6"/>
        <w:ind w:firstLine="640" w:firstLineChars="200"/>
        <w:rPr>
          <w:rFonts w:hint="eastAsia" w:ascii="仿宋_GB2312" w:hAnsi="仿宋_GB2312" w:eastAsia="仿宋_GB2312" w:cs="仿宋_GB2312"/>
          <w:color w:val="auto"/>
          <w:sz w:val="32"/>
          <w:szCs w:val="32"/>
          <w:highlight w:val="none"/>
        </w:rPr>
      </w:pPr>
      <w:r>
        <w:rPr>
          <w:rFonts w:hint="eastAsia" w:hAnsi="仿宋_GB2312" w:cs="仿宋_GB2312"/>
          <w:color w:val="auto"/>
          <w:sz w:val="32"/>
          <w:szCs w:val="32"/>
          <w:highlight w:val="none"/>
          <w:lang w:eastAsia="zh-CN"/>
        </w:rPr>
        <w:t>根据预算绩效管理要求，本单位在</w:t>
      </w:r>
      <w:r>
        <w:rPr>
          <w:rFonts w:hint="eastAsia" w:hAnsi="仿宋_GB2312" w:cs="仿宋_GB2312"/>
          <w:color w:val="auto"/>
          <w:sz w:val="32"/>
          <w:szCs w:val="32"/>
          <w:highlight w:val="none"/>
          <w:lang w:val="en-US" w:eastAsia="zh-CN"/>
        </w:rPr>
        <w:t>2022年度</w:t>
      </w:r>
      <w:r>
        <w:rPr>
          <w:rFonts w:hint="eastAsia" w:hAnsi="仿宋_GB2312" w:cs="仿宋_GB2312"/>
          <w:color w:val="auto"/>
          <w:sz w:val="32"/>
          <w:szCs w:val="32"/>
          <w:highlight w:val="none"/>
          <w:lang w:eastAsia="zh-CN"/>
        </w:rPr>
        <w:t>预算编制阶段，组织对</w:t>
      </w:r>
      <w:r>
        <w:rPr>
          <w:rFonts w:hint="eastAsia" w:hAnsi="仿宋_GB2312" w:cs="仿宋_GB2312"/>
          <w:color w:val="auto"/>
          <w:sz w:val="32"/>
          <w:szCs w:val="32"/>
          <w:highlight w:val="none"/>
          <w:lang w:val="en-US" w:eastAsia="zh-CN"/>
        </w:rPr>
        <w:t>全国和全市统一专项考试费、全市遴选考试工作经费、人事考试标准化考点建设、职业技能人才评价工作经费、一体化办证大厅5个项目</w:t>
      </w:r>
      <w:r>
        <w:rPr>
          <w:rFonts w:hint="eastAsia" w:hAnsi="仿宋_GB2312" w:cs="仿宋_GB2312"/>
          <w:color w:val="auto"/>
          <w:sz w:val="32"/>
          <w:szCs w:val="32"/>
          <w:highlight w:val="none"/>
          <w:lang w:eastAsia="zh-CN"/>
        </w:rPr>
        <w:t>开展了预算事前绩效评估，对</w:t>
      </w:r>
      <w:r>
        <w:rPr>
          <w:rFonts w:hint="eastAsia" w:hAnsi="仿宋_GB2312" w:cs="仿宋_GB2312"/>
          <w:color w:val="auto"/>
          <w:sz w:val="32"/>
          <w:szCs w:val="32"/>
          <w:highlight w:val="none"/>
          <w:lang w:val="en-US" w:eastAsia="zh-CN"/>
        </w:rPr>
        <w:t>5</w:t>
      </w:r>
      <w:r>
        <w:rPr>
          <w:rFonts w:hint="eastAsia" w:hAnsi="仿宋_GB2312" w:cs="仿宋_GB2312"/>
          <w:color w:val="auto"/>
          <w:sz w:val="32"/>
          <w:szCs w:val="32"/>
          <w:highlight w:val="none"/>
          <w:lang w:eastAsia="zh-CN"/>
        </w:rPr>
        <w:t>个项目编制了绩效目标，预算执行过程中，选取</w:t>
      </w:r>
      <w:r>
        <w:rPr>
          <w:rFonts w:hint="eastAsia" w:hAnsi="仿宋_GB2312" w:cs="仿宋_GB2312"/>
          <w:color w:val="auto"/>
          <w:sz w:val="32"/>
          <w:szCs w:val="32"/>
          <w:highlight w:val="none"/>
          <w:lang w:val="en-US" w:eastAsia="zh-CN"/>
        </w:rPr>
        <w:t>5</w:t>
      </w:r>
      <w:r>
        <w:rPr>
          <w:rFonts w:hint="eastAsia" w:hAnsi="仿宋_GB2312" w:cs="仿宋_GB2312"/>
          <w:color w:val="auto"/>
          <w:sz w:val="32"/>
          <w:szCs w:val="32"/>
          <w:highlight w:val="none"/>
          <w:lang w:eastAsia="zh-CN"/>
        </w:rPr>
        <w:t>个项目开展绩效监控，组织对</w:t>
      </w:r>
      <w:r>
        <w:rPr>
          <w:rFonts w:hint="eastAsia" w:hAnsi="仿宋_GB2312" w:cs="仿宋_GB2312"/>
          <w:color w:val="auto"/>
          <w:sz w:val="32"/>
          <w:szCs w:val="32"/>
          <w:highlight w:val="none"/>
          <w:lang w:val="en-US" w:eastAsia="zh-CN"/>
        </w:rPr>
        <w:t>5</w:t>
      </w:r>
      <w:r>
        <w:rPr>
          <w:rFonts w:hint="eastAsia" w:hAnsi="仿宋_GB2312" w:cs="仿宋_GB2312"/>
          <w:color w:val="auto"/>
          <w:sz w:val="32"/>
          <w:szCs w:val="32"/>
          <w:highlight w:val="none"/>
          <w:lang w:eastAsia="zh-CN"/>
        </w:rPr>
        <w:t>个项目开展绩效自评，绩效自评表详见第四部分附件。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2"/>
        </w:numPr>
        <w:spacing w:line="600" w:lineRule="exact"/>
        <w:ind w:firstLine="660" w:firstLineChars="150"/>
        <w:jc w:val="center"/>
        <w:outlineLvl w:val="0"/>
        <w:rPr>
          <w:rStyle w:val="26"/>
          <w:rFonts w:ascii="黑体" w:hAnsi="黑体" w:eastAsia="黑体"/>
          <w:b w:val="0"/>
          <w:color w:val="auto"/>
          <w:highlight w:val="none"/>
        </w:rPr>
      </w:pPr>
      <w:bookmarkStart w:id="66" w:name="_Toc15377225"/>
      <w:bookmarkStart w:id="67" w:name="_Toc12686"/>
      <w:bookmarkStart w:id="68"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66"/>
      <w:bookmarkEnd w:id="67"/>
      <w:bookmarkEnd w:id="68"/>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.社会保障和就业支出（类）人力资源和社会保障管理事务（款）</w:t>
      </w:r>
      <w:r>
        <w:rPr>
          <w:rFonts w:hint="eastAsia" w:ascii="仿宋_GB2312" w:eastAsia="仿宋_GB2312"/>
          <w:sz w:val="32"/>
          <w:szCs w:val="32"/>
          <w:lang w:eastAsia="zh-CN"/>
        </w:rPr>
        <w:t>事业运行</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color w:val="000000"/>
          <w:sz w:val="32"/>
          <w:szCs w:val="32"/>
        </w:rPr>
        <w:t>指</w:t>
      </w:r>
      <w:r>
        <w:rPr>
          <w:rFonts w:hint="eastAsia" w:ascii="仿宋_GB2312" w:eastAsia="仿宋_GB2312"/>
          <w:color w:val="000000"/>
          <w:sz w:val="32"/>
          <w:szCs w:val="32"/>
          <w:lang w:eastAsia="zh-CN"/>
        </w:rPr>
        <w:t>事业单位</w:t>
      </w:r>
      <w:r>
        <w:rPr>
          <w:rFonts w:hint="eastAsia" w:ascii="仿宋_GB2312" w:eastAsia="仿宋_GB2312"/>
          <w:color w:val="000000"/>
          <w:sz w:val="32"/>
          <w:szCs w:val="32"/>
        </w:rPr>
        <w:t>开展业务工作的支出。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5.社会保障和就业支出（类）人力资源和社会保障管理事务（款）其他人力资源和社会保障管理事务支出（项）：指事业单位反映除上述项目外其他人力资源方面的支出。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6.社会保障和就业支出（类）行政事业单位养老支出（款）机关事业单位基本养老保险缴费支出（项）： 指机关事业单位实施养老保险制度由单位缴纳的基本养老保险费支出。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7.卫生健康支出（类）行政事业单位医疗（款）行政单位医疗（项）：指反映财政部门集中安排的行政单位基本医疗保险缴费经费。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8.住房保障支出（类）住房改革支出（款）住房公积金（项）：指行政事业单位按人力资源和社会保障部、财政部规定的基本工资和津贴补贴以及规定比例为职工缴纳的住房公积金。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9.基本支出：指为保障机构正常运转、完成日常工作任务而发生的人员支出和公用支出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10.项目支出：指在基本支出之外为完成特定行政任务和事业发展目标所发生的支出。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24"/>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6"/>
          <w:rFonts w:ascii="黑体" w:hAnsi="黑体" w:eastAsia="黑体"/>
          <w:b w:val="0"/>
          <w:color w:val="auto"/>
          <w:highlight w:val="none"/>
        </w:rPr>
      </w:pPr>
      <w:bookmarkStart w:id="69" w:name="_Toc15377226"/>
      <w:r>
        <w:rPr>
          <w:rFonts w:ascii="宋体"/>
          <w:b/>
          <w:color w:val="auto"/>
          <w:sz w:val="44"/>
          <w:szCs w:val="44"/>
          <w:highlight w:val="none"/>
        </w:rPr>
        <w:br w:type="page"/>
      </w:r>
      <w:bookmarkStart w:id="70" w:name="_Toc15396614"/>
      <w:bookmarkStart w:id="71" w:name="_Toc10457"/>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70"/>
      <w:bookmarkEnd w:id="71"/>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jc w:val="center"/>
        <w:outlineLvl w:val="1"/>
        <w:rPr>
          <w:rFonts w:hint="eastAsia" w:ascii="宋体" w:hAnsi="宋体" w:eastAsia="宋体" w:cs="宋体"/>
          <w:color w:val="auto"/>
          <w:kern w:val="0"/>
          <w:sz w:val="32"/>
          <w:szCs w:val="32"/>
          <w:highlight w:val="none"/>
          <w:lang w:val="en-US" w:eastAsia="zh-CN" w:bidi="ar-SA"/>
        </w:rPr>
      </w:pPr>
      <w:bookmarkStart w:id="72" w:name="_Toc24271"/>
      <w:bookmarkStart w:id="73" w:name="_Toc15396618"/>
      <w:r>
        <w:rPr>
          <w:rFonts w:hint="eastAsia" w:ascii="宋体" w:hAnsi="宋体" w:eastAsia="宋体" w:cs="宋体"/>
          <w:color w:val="auto"/>
          <w:kern w:val="0"/>
          <w:sz w:val="32"/>
          <w:szCs w:val="32"/>
          <w:highlight w:val="none"/>
          <w:lang w:val="en-US" w:eastAsia="zh-CN" w:bidi="ar-SA"/>
        </w:rPr>
        <w:t>部门预算项目支出绩效自评表（2022年度）</w:t>
      </w:r>
      <w:bookmarkEnd w:id="72"/>
    </w:p>
    <w:tbl>
      <w:tblPr>
        <w:tblStyle w:val="14"/>
        <w:tblW w:w="9105" w:type="dxa"/>
        <w:tblInd w:w="-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
        <w:gridCol w:w="945"/>
        <w:gridCol w:w="38"/>
        <w:gridCol w:w="932"/>
        <w:gridCol w:w="58"/>
        <w:gridCol w:w="702"/>
        <w:gridCol w:w="243"/>
        <w:gridCol w:w="945"/>
        <w:gridCol w:w="585"/>
        <w:gridCol w:w="239"/>
        <w:gridCol w:w="406"/>
        <w:gridCol w:w="71"/>
        <w:gridCol w:w="409"/>
        <w:gridCol w:w="117"/>
        <w:gridCol w:w="477"/>
        <w:gridCol w:w="126"/>
        <w:gridCol w:w="630"/>
        <w:gridCol w:w="224"/>
        <w:gridCol w:w="468"/>
        <w:gridCol w:w="108"/>
        <w:gridCol w:w="587"/>
        <w:gridCol w:w="76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10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51080021T000000057199-人事考试标准化考点建设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72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2022年再建成一个人事考试标准化考点</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完成采购技防相关设备，金属探测仪、信号屏蔽仪等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严格按照要求</w:t>
            </w:r>
            <w:r>
              <w:rPr>
                <w:rFonts w:hint="eastAsia" w:ascii="宋体" w:hAnsi="宋体" w:cs="宋体"/>
                <w:i w:val="0"/>
                <w:iCs w:val="0"/>
                <w:color w:val="000000"/>
                <w:sz w:val="18"/>
                <w:szCs w:val="18"/>
                <w:u w:val="none"/>
                <w:lang w:eastAsia="zh-CN"/>
              </w:rPr>
              <w:t>资金支付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99</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14.99</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14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w:t>
            </w:r>
            <w:r>
              <w:rPr>
                <w:rFonts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99</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14.99</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标准化考点建设数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个（台、套、件、辆）</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标准化考点建设完成率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所需支出费用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考点使用年限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社会满意度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15"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截止2022年底，该单位项目预算执行率100%，该项目自评得分100分。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（1）项目测算标准有待细化，测算准确率有待提高。(2)部分绩效指标编制不合理,绩效指标量化不合理。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加强绩效自评工作力度，细化项目测算，完善绩效指标，积极运用评价结果，提高资金使用效率。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项目负责人：杨文娟</w:t>
            </w:r>
          </w:p>
        </w:tc>
        <w:tc>
          <w:tcPr>
            <w:tcW w:w="463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68"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10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51080021T000000057209-全市遴选考试工作经费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72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2022年广元市直机关事业单位公开遴选工作人员预计组织1500人报名参考。</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顺利组织实施2022年广元市直机关事业单位公开遴选工作人员考试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严格按照要求，将全市遴选考试工作经费用于市直机关事业单位公开遴选工作人员考试费用支出。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全市遴选参考人事</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顺利组织实施完成度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工作人员劳务费及场地租金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考试组织年限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考生满意度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15"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该项目指标全面完成，自评得分100分。顺利组织实施2022年广元市直机关事业单位公开遴选工作人员考试。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项目负责人：杨文娟</w:t>
            </w:r>
          </w:p>
        </w:tc>
        <w:tc>
          <w:tcPr>
            <w:tcW w:w="463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68"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10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51080021T000000059619-全国和全省统一专项考试费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72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2022年“三支一扶”组织3500人报名考试，藏区乡镇机关招录 “9+3”毕业生组织150人报名考试。</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顺利组织实施2022年度“三支一扶”及“9+3”毕业生考试。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严格按照要求，将全国和全省统一专项考试费用于“三支一扶”及“9+3”毕业生考试费用支出。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全省“三支一扶”、藏区“9+3”毕业生报考人数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顺利组织实施完成度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组织考试工作人员劳务费、场租费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提高高校毕业生就业率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考试组织年限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考生满意度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15"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该项目指标全面完成，自评得分100分。顺利组织实施2022年度“三支一扶”及“9+3”毕业生考试。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项目负责人：杨文娟</w:t>
            </w:r>
          </w:p>
        </w:tc>
        <w:tc>
          <w:tcPr>
            <w:tcW w:w="463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68"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10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51080022T000004929755-人事考试一体化办证大厅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72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为夯实人事考试健康发展的基础，进一步提升人事考试服务水平，建立一个人事考试一体化办证大厅，规范人事考试证书管理。</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一体化办证服务大厅已全面建成，并投入使用。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成立基建工作小组，严格按照建设程序和要求，确定代理单位、设计单位、施工单位、审计单位，对中心两间办公室进行升级改造，历经大半月时间，顺利完成建设。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17.28</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17.28</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14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项目测算还不够细化。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17.28</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17.28</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办证大厅相关设施设备一套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大厅建成完工时间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顺利建成大厅所需费用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方便广大考生办事</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使用部门满意度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15"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截止2022年底，该单位项目预算执行率100%，该项目自评得分100分。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（1）项目测算标准有待细化，测算准确率有待提高。(2)部分绩效指标编制不合理,绩效指标量化不合理。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加强绩效自评工作力度，细化项目测算，完善绩效指标，积极运用评价结果，提高资金使用效率。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项目负责人：杨文娟</w:t>
            </w:r>
          </w:p>
        </w:tc>
        <w:tc>
          <w:tcPr>
            <w:tcW w:w="463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4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9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68"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105" w:type="dxa"/>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51080022T000004929788-职业技能人才评价工作经费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72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为有序推行社会培训评价工作，引导人才培养服务的院校、企业参与职业技能等级认定工作，在机构设置、制度完善、评价规范指定、场地设施建设、命题技术等方面提供必要的技术指导与服务支持。</w:t>
            </w:r>
          </w:p>
        </w:tc>
        <w:tc>
          <w:tcPr>
            <w:tcW w:w="35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全面完成职业技能人才评价相关工作。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1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职业技能鉴定科按照职业技能人才评价工作要求，有序开展职业技能人才评价相关工作。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开展技能人才评价工作次数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推进我市职业技能人才评价工作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技能人才评价机构满意度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315"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截止2022年底，该单位项目预算执行率100%，该项目自评得分100分。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（1）项目测算标准有待细化，测算准确率有待提高。(2)部分绩效指标编制不合理,绩效指标量化不合理。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0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加强绩效自评工作力度，细化项目测算，完善绩效指标，积极运用评价结果，提高资金使用效率。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项目负责人：贾秋荣</w:t>
            </w:r>
          </w:p>
        </w:tc>
        <w:tc>
          <w:tcPr>
            <w:tcW w:w="463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70" w:type="dxa"/>
            <w:gridSpan w:val="9"/>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18"/>
                <w:szCs w:val="18"/>
                <w:u w:val="none"/>
                <w:lang w:val="en-US" w:eastAsia="zh-CN" w:bidi="ar"/>
              </w:rPr>
            </w:pPr>
          </w:p>
        </w:tc>
        <w:tc>
          <w:tcPr>
            <w:tcW w:w="4635" w:type="dxa"/>
            <w:gridSpan w:val="14"/>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07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51000021R000000019951-工资性支出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12"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8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7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确保按时足额发放人员工资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6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8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53.76</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60.52</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60.52</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53.76</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60.52</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60.52</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4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0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714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7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3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51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项目负责人：何启国</w:t>
            </w:r>
          </w:p>
        </w:tc>
        <w:tc>
          <w:tcPr>
            <w:tcW w:w="39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12"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07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51080021Y000000176770-其他公用经费（福利、工会、公车补贴、党建、退休活动）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12"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8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7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确保中心全年正常运转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6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8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3.57</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4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0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7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714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7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3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51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项目负责人：何启国</w:t>
            </w:r>
          </w:p>
        </w:tc>
        <w:tc>
          <w:tcPr>
            <w:tcW w:w="39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12"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07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51080022R000000267546-工资性支出（事业）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12"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8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7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确保按时足额发放人员工资、缴纳保险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w:t>
            </w:r>
            <w:r>
              <w:rPr>
                <w:rFonts w:hint="eastAsia" w:ascii="宋体" w:hAnsi="宋体" w:eastAsia="宋体" w:cs="宋体"/>
                <w:i w:val="0"/>
                <w:iCs w:val="0"/>
                <w:color w:val="000000"/>
                <w:kern w:val="0"/>
                <w:sz w:val="18"/>
                <w:szCs w:val="18"/>
                <w:u w:val="none"/>
                <w:lang w:val="en-US" w:eastAsia="zh-CN" w:bidi="ar"/>
              </w:rPr>
              <w:t>，确保按时足额发放人员工资、缴纳保险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6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8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72.63</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94.94</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94.94</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72.63</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94.94</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94.94</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4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0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714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7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3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51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项目负责人：何启国</w:t>
            </w:r>
          </w:p>
        </w:tc>
        <w:tc>
          <w:tcPr>
            <w:tcW w:w="39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12"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07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51080022Y000000267568-定额公用经费（事业）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12"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8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7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保障中心全年正常运转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6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8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12.</w:t>
            </w:r>
            <w:r>
              <w:rPr>
                <w:rFonts w:hint="eastAsia" w:ascii="宋体" w:hAnsi="宋体" w:cs="宋体"/>
                <w:i w:val="0"/>
                <w:iCs w:val="0"/>
                <w:color w:val="000000"/>
                <w:kern w:val="0"/>
                <w:sz w:val="18"/>
                <w:szCs w:val="18"/>
                <w:u w:val="none"/>
                <w:lang w:val="en-US" w:eastAsia="zh-CN" w:bidi="ar"/>
              </w:rPr>
              <w:t>77</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12.77</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12.</w:t>
            </w:r>
            <w:r>
              <w:rPr>
                <w:rFonts w:hint="eastAsia" w:ascii="宋体" w:hAnsi="宋体" w:cs="宋体"/>
                <w:i w:val="0"/>
                <w:iCs w:val="0"/>
                <w:color w:val="000000"/>
                <w:kern w:val="0"/>
                <w:sz w:val="18"/>
                <w:szCs w:val="18"/>
                <w:u w:val="none"/>
                <w:lang w:val="en-US" w:eastAsia="zh-CN" w:bidi="ar"/>
              </w:rPr>
              <w:t>77</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12.77</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4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0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7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714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7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3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51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项目负责人：何启国</w:t>
            </w:r>
          </w:p>
        </w:tc>
        <w:tc>
          <w:tcPr>
            <w:tcW w:w="39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12"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0"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8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904" w:hRule="atLeast"/>
        </w:trPr>
        <w:tc>
          <w:tcPr>
            <w:tcW w:w="907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51080023R000007612345-规范后市级基础绩效奖及生活补助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12" w:hRule="atLeast"/>
        </w:trPr>
        <w:tc>
          <w:tcPr>
            <w:tcW w:w="1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98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708"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足额保障人员基础绩效奖</w:t>
            </w:r>
          </w:p>
        </w:tc>
        <w:tc>
          <w:tcPr>
            <w:tcW w:w="29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顺利发放人员基础绩效奖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93"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足额保障人员基础绩效奖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61"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8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3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47"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02"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7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452"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产出指标</w:t>
            </w:r>
          </w:p>
        </w:tc>
        <w:tc>
          <w:tcPr>
            <w:tcW w:w="760"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数量指标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科目调整次数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次</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足额保障率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时效指标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按时发放率</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339"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效益指标</w:t>
            </w:r>
          </w:p>
        </w:tc>
        <w:tc>
          <w:tcPr>
            <w:tcW w:w="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经济效益指标</w:t>
            </w:r>
          </w:p>
        </w:tc>
        <w:tc>
          <w:tcPr>
            <w:tcW w:w="20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22.5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714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0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该项目指标全面完成，自评得分100分。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57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633"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13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8" w:type="dxa"/>
          <w:trHeight w:val="286" w:hRule="atLeast"/>
        </w:trPr>
        <w:tc>
          <w:tcPr>
            <w:tcW w:w="51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项目负责人：何启国</w:t>
            </w:r>
          </w:p>
        </w:tc>
        <w:tc>
          <w:tcPr>
            <w:tcW w:w="39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财务负责人：曹辉</w:t>
            </w:r>
          </w:p>
        </w:tc>
      </w:tr>
    </w:tbl>
    <w:p>
      <w:pPr>
        <w:spacing w:line="600" w:lineRule="exact"/>
        <w:jc w:val="left"/>
        <w:outlineLvl w:val="9"/>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hAnsi="Calibri" w:cs="仿宋"/>
          <w:color w:val="auto"/>
          <w:kern w:val="0"/>
          <w:sz w:val="32"/>
          <w:szCs w:val="32"/>
          <w:highlight w:val="none"/>
          <w:lang w:val="en-US" w:eastAsia="zh-CN" w:bidi="ar-SA"/>
        </w:rPr>
      </w:pPr>
    </w:p>
    <w:p>
      <w:pPr>
        <w:pStyle w:val="6"/>
        <w:rPr>
          <w:rFonts w:hint="eastAsia" w:hAnsi="Calibri" w:cs="仿宋"/>
          <w:color w:val="auto"/>
          <w:kern w:val="0"/>
          <w:sz w:val="32"/>
          <w:szCs w:val="32"/>
          <w:highlight w:val="none"/>
          <w:lang w:val="en-US" w:eastAsia="zh-CN" w:bidi="ar-SA"/>
        </w:rPr>
      </w:pPr>
    </w:p>
    <w:p>
      <w:pPr>
        <w:pStyle w:val="6"/>
        <w:rPr>
          <w:rFonts w:hint="eastAsia" w:hAnsi="Calibri" w:cs="仿宋"/>
          <w:color w:val="auto"/>
          <w:kern w:val="0"/>
          <w:sz w:val="32"/>
          <w:szCs w:val="32"/>
          <w:highlight w:val="none"/>
          <w:lang w:val="en-US" w:eastAsia="zh-CN" w:bidi="ar-SA"/>
        </w:rPr>
      </w:pPr>
    </w:p>
    <w:p>
      <w:pPr>
        <w:pStyle w:val="6"/>
        <w:rPr>
          <w:rFonts w:hint="eastAsia" w:hAnsi="Calibri" w:cs="仿宋"/>
          <w:color w:val="auto"/>
          <w:kern w:val="0"/>
          <w:sz w:val="32"/>
          <w:szCs w:val="32"/>
          <w:highlight w:val="none"/>
          <w:lang w:val="en-US" w:eastAsia="zh-CN" w:bidi="ar-SA"/>
        </w:rPr>
      </w:pPr>
    </w:p>
    <w:p>
      <w:pPr>
        <w:pStyle w:val="6"/>
        <w:rPr>
          <w:rFonts w:hint="eastAsia" w:hAnsi="Calibri" w:cs="仿宋"/>
          <w:color w:val="auto"/>
          <w:kern w:val="0"/>
          <w:sz w:val="32"/>
          <w:szCs w:val="32"/>
          <w:highlight w:val="none"/>
          <w:lang w:val="en-US" w:eastAsia="zh-CN" w:bidi="ar-SA"/>
        </w:rPr>
      </w:pPr>
    </w:p>
    <w:p>
      <w:pPr>
        <w:pStyle w:val="6"/>
        <w:rPr>
          <w:rFonts w:hint="eastAsia" w:hAnsi="Calibri"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bookmarkStart w:id="74" w:name="_Toc2070"/>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69"/>
      <w:bookmarkEnd w:id="73"/>
      <w:bookmarkEnd w:id="74"/>
      <w:bookmarkStart w:id="75" w:name="_Toc15396619"/>
    </w:p>
    <w:p>
      <w:pPr>
        <w:pStyle w:val="4"/>
        <w:rPr>
          <w:rFonts w:ascii="仿宋" w:hAnsi="仿宋" w:eastAsia="仿宋"/>
          <w:color w:val="auto"/>
          <w:highlight w:val="none"/>
        </w:rPr>
      </w:pPr>
      <w:bookmarkStart w:id="76" w:name="_Toc3769"/>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75"/>
      <w:bookmarkEnd w:id="76"/>
    </w:p>
    <w:p>
      <w:pPr>
        <w:pStyle w:val="4"/>
        <w:rPr>
          <w:rFonts w:ascii="仿宋" w:hAnsi="仿宋" w:eastAsia="仿宋"/>
          <w:color w:val="auto"/>
          <w:highlight w:val="none"/>
        </w:rPr>
      </w:pPr>
      <w:bookmarkStart w:id="77" w:name="_Toc1946"/>
      <w:bookmarkStart w:id="78"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77"/>
      <w:bookmarkEnd w:id="78"/>
    </w:p>
    <w:p>
      <w:pPr>
        <w:pStyle w:val="4"/>
        <w:rPr>
          <w:rFonts w:ascii="仿宋" w:hAnsi="仿宋" w:eastAsia="仿宋"/>
          <w:color w:val="auto"/>
          <w:highlight w:val="none"/>
        </w:rPr>
      </w:pPr>
      <w:bookmarkStart w:id="79" w:name="_Toc31241"/>
      <w:bookmarkStart w:id="80"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79"/>
      <w:bookmarkEnd w:id="80"/>
    </w:p>
    <w:p>
      <w:pPr>
        <w:pStyle w:val="4"/>
        <w:rPr>
          <w:rFonts w:ascii="仿宋" w:hAnsi="仿宋" w:eastAsia="仿宋"/>
          <w:b w:val="0"/>
          <w:color w:val="auto"/>
          <w:highlight w:val="none"/>
        </w:rPr>
      </w:pPr>
      <w:bookmarkStart w:id="81" w:name="_Toc15396622"/>
      <w:bookmarkStart w:id="82" w:name="_Toc16695"/>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81"/>
      <w:bookmarkEnd w:id="82"/>
    </w:p>
    <w:p>
      <w:pPr>
        <w:pStyle w:val="4"/>
        <w:rPr>
          <w:rStyle w:val="27"/>
          <w:rFonts w:ascii="仿宋" w:hAnsi="仿宋" w:eastAsia="仿宋"/>
          <w:b w:val="0"/>
          <w:bCs w:val="0"/>
          <w:color w:val="auto"/>
          <w:highlight w:val="none"/>
        </w:rPr>
      </w:pPr>
      <w:bookmarkStart w:id="83" w:name="_Toc15396623"/>
      <w:bookmarkStart w:id="84" w:name="_Toc12076"/>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83"/>
      <w:bookmarkEnd w:id="84"/>
      <w:bookmarkStart w:id="85" w:name="_Toc15396624"/>
    </w:p>
    <w:p>
      <w:pPr>
        <w:pStyle w:val="4"/>
        <w:rPr>
          <w:rFonts w:ascii="仿宋" w:hAnsi="仿宋" w:eastAsia="仿宋"/>
          <w:color w:val="auto"/>
          <w:highlight w:val="none"/>
        </w:rPr>
      </w:pPr>
      <w:bookmarkStart w:id="86" w:name="_Toc32255"/>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85"/>
      <w:bookmarkEnd w:id="86"/>
    </w:p>
    <w:p>
      <w:pPr>
        <w:pStyle w:val="4"/>
        <w:rPr>
          <w:rFonts w:ascii="仿宋" w:hAnsi="仿宋" w:eastAsia="仿宋"/>
          <w:color w:val="auto"/>
          <w:highlight w:val="none"/>
        </w:rPr>
      </w:pPr>
      <w:bookmarkStart w:id="87" w:name="_Toc15396625"/>
      <w:bookmarkStart w:id="88" w:name="_Toc24031"/>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87"/>
      <w:bookmarkEnd w:id="88"/>
    </w:p>
    <w:p>
      <w:pPr>
        <w:pStyle w:val="4"/>
        <w:rPr>
          <w:rFonts w:ascii="仿宋" w:hAnsi="仿宋" w:eastAsia="仿宋"/>
          <w:color w:val="auto"/>
          <w:highlight w:val="none"/>
        </w:rPr>
      </w:pPr>
      <w:bookmarkStart w:id="89" w:name="_Toc21993"/>
      <w:bookmarkStart w:id="90"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89"/>
      <w:bookmarkEnd w:id="90"/>
    </w:p>
    <w:p>
      <w:pPr>
        <w:pStyle w:val="4"/>
        <w:rPr>
          <w:rFonts w:ascii="仿宋" w:hAnsi="仿宋" w:eastAsia="仿宋"/>
          <w:color w:val="auto"/>
          <w:highlight w:val="none"/>
        </w:rPr>
      </w:pPr>
      <w:bookmarkStart w:id="91" w:name="_Toc15396627"/>
      <w:bookmarkStart w:id="92" w:name="_Toc28862"/>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91"/>
      <w:bookmarkEnd w:id="92"/>
    </w:p>
    <w:p>
      <w:pPr>
        <w:pStyle w:val="4"/>
        <w:rPr>
          <w:rFonts w:ascii="仿宋" w:hAnsi="仿宋" w:eastAsia="仿宋"/>
          <w:color w:val="auto"/>
          <w:highlight w:val="none"/>
        </w:rPr>
      </w:pPr>
      <w:bookmarkStart w:id="93" w:name="_Toc15396628"/>
      <w:bookmarkStart w:id="94" w:name="_Toc31124"/>
      <w:r>
        <w:rPr>
          <w:rStyle w:val="27"/>
          <w:rFonts w:hint="eastAsia" w:ascii="仿宋" w:hAnsi="仿宋" w:eastAsia="仿宋"/>
          <w:b w:val="0"/>
          <w:bCs w:val="0"/>
          <w:color w:val="auto"/>
          <w:highlight w:val="none"/>
        </w:rPr>
        <w:t>十、</w:t>
      </w:r>
      <w:bookmarkEnd w:id="93"/>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94"/>
    </w:p>
    <w:p>
      <w:pPr>
        <w:pStyle w:val="4"/>
        <w:rPr>
          <w:rFonts w:ascii="仿宋" w:hAnsi="仿宋" w:eastAsia="仿宋"/>
          <w:color w:val="auto"/>
          <w:highlight w:val="none"/>
        </w:rPr>
      </w:pPr>
      <w:bookmarkStart w:id="95" w:name="_Toc15396629"/>
      <w:bookmarkStart w:id="96" w:name="_Toc27771"/>
      <w:r>
        <w:rPr>
          <w:rStyle w:val="27"/>
          <w:rFonts w:hint="eastAsia" w:ascii="仿宋" w:hAnsi="仿宋" w:eastAsia="仿宋"/>
          <w:b w:val="0"/>
          <w:bCs w:val="0"/>
          <w:color w:val="auto"/>
          <w:highlight w:val="none"/>
        </w:rPr>
        <w:t>十一、</w:t>
      </w:r>
      <w:bookmarkEnd w:id="95"/>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96"/>
    </w:p>
    <w:p>
      <w:pPr>
        <w:pStyle w:val="4"/>
        <w:rPr>
          <w:rFonts w:ascii="仿宋" w:hAnsi="仿宋" w:eastAsia="仿宋"/>
          <w:color w:val="auto"/>
          <w:highlight w:val="none"/>
        </w:rPr>
      </w:pPr>
      <w:bookmarkStart w:id="97" w:name="_Toc15396630"/>
      <w:bookmarkStart w:id="98" w:name="_Toc24379"/>
      <w:r>
        <w:rPr>
          <w:rStyle w:val="27"/>
          <w:rFonts w:hint="eastAsia" w:ascii="仿宋" w:hAnsi="仿宋" w:eastAsia="仿宋"/>
          <w:b w:val="0"/>
          <w:bCs w:val="0"/>
          <w:color w:val="auto"/>
          <w:highlight w:val="none"/>
        </w:rPr>
        <w:t>十二、</w:t>
      </w:r>
      <w:bookmarkEnd w:id="97"/>
      <w:r>
        <w:rPr>
          <w:rStyle w:val="27"/>
          <w:rFonts w:hint="eastAsia" w:ascii="仿宋" w:hAnsi="仿宋" w:eastAsia="仿宋"/>
          <w:b w:val="0"/>
          <w:bCs w:val="0"/>
          <w:color w:val="auto"/>
          <w:highlight w:val="none"/>
          <w:lang w:eastAsia="zh-CN"/>
        </w:rPr>
        <w:t>国有资本经营预算财政拨款支出决算表</w:t>
      </w:r>
      <w:bookmarkEnd w:id="98"/>
    </w:p>
    <w:p>
      <w:pPr>
        <w:pStyle w:val="4"/>
        <w:rPr>
          <w:rFonts w:hint="eastAsia" w:eastAsia="仿宋"/>
          <w:color w:val="auto"/>
          <w:highlight w:val="none"/>
          <w:lang w:eastAsia="zh-CN"/>
        </w:rPr>
      </w:pPr>
      <w:bookmarkStart w:id="99" w:name="_Toc15396631"/>
      <w:bookmarkStart w:id="100" w:name="_Toc2447"/>
      <w:r>
        <w:rPr>
          <w:rStyle w:val="27"/>
          <w:rFonts w:hint="eastAsia" w:ascii="仿宋" w:hAnsi="仿宋" w:eastAsia="仿宋"/>
          <w:b w:val="0"/>
          <w:bCs w:val="0"/>
          <w:color w:val="auto"/>
          <w:highlight w:val="none"/>
        </w:rPr>
        <w:t>十三、</w:t>
      </w:r>
      <w:bookmarkEnd w:id="99"/>
      <w:r>
        <w:rPr>
          <w:rStyle w:val="27"/>
          <w:rFonts w:hint="eastAsia" w:ascii="仿宋" w:hAnsi="仿宋" w:eastAsia="仿宋"/>
          <w:b w:val="0"/>
          <w:bCs w:val="0"/>
          <w:color w:val="auto"/>
          <w:highlight w:val="none"/>
          <w:lang w:eastAsia="zh-CN"/>
        </w:rPr>
        <w:t>财政拨款“三公”经费支出决算表</w:t>
      </w:r>
      <w:bookmarkEnd w:id="100"/>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3F00" w:csb1="01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Y2U2YmY1ZjI5NTU1MWQzMmQxZTZlZDlkNzY2Yz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4449"/>
    <w:rsid w:val="002D6D05"/>
    <w:rsid w:val="002F1818"/>
    <w:rsid w:val="002F567B"/>
    <w:rsid w:val="003216A9"/>
    <w:rsid w:val="00335A74"/>
    <w:rsid w:val="0036561B"/>
    <w:rsid w:val="0037013F"/>
    <w:rsid w:val="003752C8"/>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854"/>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679D0"/>
    <w:rsid w:val="02524502"/>
    <w:rsid w:val="02E74628"/>
    <w:rsid w:val="0523406D"/>
    <w:rsid w:val="053A62B5"/>
    <w:rsid w:val="06B37672"/>
    <w:rsid w:val="073A6997"/>
    <w:rsid w:val="08257571"/>
    <w:rsid w:val="088534EB"/>
    <w:rsid w:val="08BB45BC"/>
    <w:rsid w:val="09DE0562"/>
    <w:rsid w:val="09E0077E"/>
    <w:rsid w:val="0A2032A3"/>
    <w:rsid w:val="0B057D70"/>
    <w:rsid w:val="0B100BEF"/>
    <w:rsid w:val="0B8A37D8"/>
    <w:rsid w:val="0BA37CB5"/>
    <w:rsid w:val="0C7C53DD"/>
    <w:rsid w:val="0E294EE7"/>
    <w:rsid w:val="0F9022FF"/>
    <w:rsid w:val="104650B3"/>
    <w:rsid w:val="10C055FF"/>
    <w:rsid w:val="11061B35"/>
    <w:rsid w:val="111F3BC2"/>
    <w:rsid w:val="118107EC"/>
    <w:rsid w:val="11C24C0D"/>
    <w:rsid w:val="11DD6519"/>
    <w:rsid w:val="12A61488"/>
    <w:rsid w:val="13133A0B"/>
    <w:rsid w:val="14302302"/>
    <w:rsid w:val="154C6CC8"/>
    <w:rsid w:val="15DF5D8E"/>
    <w:rsid w:val="16BB723D"/>
    <w:rsid w:val="175807D0"/>
    <w:rsid w:val="18015F3F"/>
    <w:rsid w:val="18E81697"/>
    <w:rsid w:val="19D379B8"/>
    <w:rsid w:val="1B2C59A7"/>
    <w:rsid w:val="1BE8440E"/>
    <w:rsid w:val="1D155CEE"/>
    <w:rsid w:val="1D554B87"/>
    <w:rsid w:val="1E1D1195"/>
    <w:rsid w:val="1E4C7D38"/>
    <w:rsid w:val="1E803E86"/>
    <w:rsid w:val="1FEC17D3"/>
    <w:rsid w:val="20BF0C96"/>
    <w:rsid w:val="20E57FD0"/>
    <w:rsid w:val="20F57F95"/>
    <w:rsid w:val="22126E3A"/>
    <w:rsid w:val="232C0139"/>
    <w:rsid w:val="2383661D"/>
    <w:rsid w:val="240371BF"/>
    <w:rsid w:val="25711CC6"/>
    <w:rsid w:val="25C741E6"/>
    <w:rsid w:val="25D6319E"/>
    <w:rsid w:val="27842671"/>
    <w:rsid w:val="27C9064C"/>
    <w:rsid w:val="27DC037F"/>
    <w:rsid w:val="283261F1"/>
    <w:rsid w:val="284629A2"/>
    <w:rsid w:val="29712D49"/>
    <w:rsid w:val="298159CE"/>
    <w:rsid w:val="29FD04D3"/>
    <w:rsid w:val="2A6A656C"/>
    <w:rsid w:val="2A9C5BA4"/>
    <w:rsid w:val="2AB729DE"/>
    <w:rsid w:val="2ABE7A3E"/>
    <w:rsid w:val="2AF8540A"/>
    <w:rsid w:val="2BCC070B"/>
    <w:rsid w:val="2CA234A8"/>
    <w:rsid w:val="2CDA0C05"/>
    <w:rsid w:val="2CE377DE"/>
    <w:rsid w:val="2D1660E1"/>
    <w:rsid w:val="2E04036C"/>
    <w:rsid w:val="2EBA2136"/>
    <w:rsid w:val="2EFA178C"/>
    <w:rsid w:val="2F2D14C0"/>
    <w:rsid w:val="2F2D7712"/>
    <w:rsid w:val="2F7A0983"/>
    <w:rsid w:val="2FED29FE"/>
    <w:rsid w:val="30403475"/>
    <w:rsid w:val="305111DE"/>
    <w:rsid w:val="30B46D73"/>
    <w:rsid w:val="319F7F4E"/>
    <w:rsid w:val="321E1594"/>
    <w:rsid w:val="32252124"/>
    <w:rsid w:val="32D54349"/>
    <w:rsid w:val="33925D96"/>
    <w:rsid w:val="339937E1"/>
    <w:rsid w:val="33A855B9"/>
    <w:rsid w:val="340B78F6"/>
    <w:rsid w:val="34302089"/>
    <w:rsid w:val="34572B3B"/>
    <w:rsid w:val="35B902B0"/>
    <w:rsid w:val="36B129D7"/>
    <w:rsid w:val="383D272C"/>
    <w:rsid w:val="389C7C46"/>
    <w:rsid w:val="39AA634F"/>
    <w:rsid w:val="39AE70AB"/>
    <w:rsid w:val="3AE96BE3"/>
    <w:rsid w:val="3B83246F"/>
    <w:rsid w:val="3BCD4BCE"/>
    <w:rsid w:val="3BFF26C5"/>
    <w:rsid w:val="3C0C0783"/>
    <w:rsid w:val="3C995DC4"/>
    <w:rsid w:val="3D0A2E41"/>
    <w:rsid w:val="3D483969"/>
    <w:rsid w:val="3D666453"/>
    <w:rsid w:val="3D6B6B23"/>
    <w:rsid w:val="3D9D5A63"/>
    <w:rsid w:val="3DDC47DD"/>
    <w:rsid w:val="3DEF5022"/>
    <w:rsid w:val="3E314670"/>
    <w:rsid w:val="3F9F3A96"/>
    <w:rsid w:val="3FFA53EF"/>
    <w:rsid w:val="40D027ED"/>
    <w:rsid w:val="41085755"/>
    <w:rsid w:val="41306BEE"/>
    <w:rsid w:val="41772D31"/>
    <w:rsid w:val="41807B75"/>
    <w:rsid w:val="436F39FE"/>
    <w:rsid w:val="45240818"/>
    <w:rsid w:val="45886FF9"/>
    <w:rsid w:val="45D34E36"/>
    <w:rsid w:val="47215957"/>
    <w:rsid w:val="47987DFC"/>
    <w:rsid w:val="4832071D"/>
    <w:rsid w:val="48AB62AA"/>
    <w:rsid w:val="48BF60AB"/>
    <w:rsid w:val="493C27E9"/>
    <w:rsid w:val="49675177"/>
    <w:rsid w:val="496F39ED"/>
    <w:rsid w:val="49B21C86"/>
    <w:rsid w:val="49B90A53"/>
    <w:rsid w:val="49FF41D3"/>
    <w:rsid w:val="4BE068DB"/>
    <w:rsid w:val="4BF6002B"/>
    <w:rsid w:val="4D8C0196"/>
    <w:rsid w:val="4DD94895"/>
    <w:rsid w:val="4E481A1B"/>
    <w:rsid w:val="4ECE2238"/>
    <w:rsid w:val="4F5217F8"/>
    <w:rsid w:val="506B78C1"/>
    <w:rsid w:val="50B67110"/>
    <w:rsid w:val="50E81293"/>
    <w:rsid w:val="51426BF5"/>
    <w:rsid w:val="515E3450"/>
    <w:rsid w:val="5184013B"/>
    <w:rsid w:val="51856AE2"/>
    <w:rsid w:val="51A90A23"/>
    <w:rsid w:val="51DB4B86"/>
    <w:rsid w:val="52E1351A"/>
    <w:rsid w:val="55333C3E"/>
    <w:rsid w:val="55510125"/>
    <w:rsid w:val="55FF3307"/>
    <w:rsid w:val="56633896"/>
    <w:rsid w:val="5691018A"/>
    <w:rsid w:val="56BA0FDC"/>
    <w:rsid w:val="57174680"/>
    <w:rsid w:val="58031368"/>
    <w:rsid w:val="587A4EC7"/>
    <w:rsid w:val="58D26AB1"/>
    <w:rsid w:val="58DF0138"/>
    <w:rsid w:val="5970772F"/>
    <w:rsid w:val="59E44CEE"/>
    <w:rsid w:val="59E537A9"/>
    <w:rsid w:val="5A407A4A"/>
    <w:rsid w:val="5AB37B5F"/>
    <w:rsid w:val="5D185835"/>
    <w:rsid w:val="5D586AA6"/>
    <w:rsid w:val="5DBE13B2"/>
    <w:rsid w:val="5E2F0501"/>
    <w:rsid w:val="5E930A90"/>
    <w:rsid w:val="5EBA601D"/>
    <w:rsid w:val="5F082B32"/>
    <w:rsid w:val="5F19442B"/>
    <w:rsid w:val="5F2C199F"/>
    <w:rsid w:val="600357A2"/>
    <w:rsid w:val="6042451C"/>
    <w:rsid w:val="60F63558"/>
    <w:rsid w:val="61BC3E5A"/>
    <w:rsid w:val="61DC68A5"/>
    <w:rsid w:val="622540F5"/>
    <w:rsid w:val="63100901"/>
    <w:rsid w:val="638B61DA"/>
    <w:rsid w:val="638E3619"/>
    <w:rsid w:val="63BC2837"/>
    <w:rsid w:val="64CA39A1"/>
    <w:rsid w:val="65BD2897"/>
    <w:rsid w:val="65CE0600"/>
    <w:rsid w:val="67642FCA"/>
    <w:rsid w:val="67D649E0"/>
    <w:rsid w:val="687234C5"/>
    <w:rsid w:val="69630ADE"/>
    <w:rsid w:val="699E02E9"/>
    <w:rsid w:val="6ABF0DA9"/>
    <w:rsid w:val="6AE34B4E"/>
    <w:rsid w:val="6B5C220A"/>
    <w:rsid w:val="6C3A0F5E"/>
    <w:rsid w:val="6C4A05C8"/>
    <w:rsid w:val="6C8D2FC3"/>
    <w:rsid w:val="6D3B1A89"/>
    <w:rsid w:val="6DA700B4"/>
    <w:rsid w:val="6DE24342"/>
    <w:rsid w:val="6F5E0C47"/>
    <w:rsid w:val="7055204A"/>
    <w:rsid w:val="70F96E79"/>
    <w:rsid w:val="715E6CDC"/>
    <w:rsid w:val="71A52B5D"/>
    <w:rsid w:val="71BF4EC2"/>
    <w:rsid w:val="71F118FE"/>
    <w:rsid w:val="72734D90"/>
    <w:rsid w:val="72A42E14"/>
    <w:rsid w:val="72BB3CBA"/>
    <w:rsid w:val="72D07765"/>
    <w:rsid w:val="72F62F44"/>
    <w:rsid w:val="734939BC"/>
    <w:rsid w:val="739E1494"/>
    <w:rsid w:val="7412278C"/>
    <w:rsid w:val="7541494A"/>
    <w:rsid w:val="762757AD"/>
    <w:rsid w:val="76572FCC"/>
    <w:rsid w:val="76816FC9"/>
    <w:rsid w:val="76F57A97"/>
    <w:rsid w:val="78632E2A"/>
    <w:rsid w:val="78DB44A1"/>
    <w:rsid w:val="7904082E"/>
    <w:rsid w:val="793242EA"/>
    <w:rsid w:val="79E61F64"/>
    <w:rsid w:val="79E7B28D"/>
    <w:rsid w:val="7B4B6523"/>
    <w:rsid w:val="7BAB2DA8"/>
    <w:rsid w:val="7C15268D"/>
    <w:rsid w:val="7CAB2FF1"/>
    <w:rsid w:val="7CBA3C7B"/>
    <w:rsid w:val="7D741787"/>
    <w:rsid w:val="7DB54128"/>
    <w:rsid w:val="7E046E5D"/>
    <w:rsid w:val="7E240903"/>
    <w:rsid w:val="7F413799"/>
    <w:rsid w:val="7F9F20EE"/>
    <w:rsid w:val="7FBD9259"/>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200" w:firstLineChars="200"/>
    </w:pPr>
    <w:rPr>
      <w:rFonts w:eastAsia="方正仿宋简体"/>
      <w:sz w:val="32"/>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ind w:left="200" w:leftChars="200" w:hanging="200" w:hangingChars="200"/>
    </w:pPr>
    <w:rPr>
      <w:rFonts w:eastAsia="仿宋_GB2312"/>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D:\&#25105;&#30340;&#25991;&#26723;\Desktop\&#26032;&#24314;%20XLSX%20&#24037;&#20316;&#34920;.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file:///D:\&#25105;&#30340;&#25991;&#26723;\Desktop\&#26032;&#24314;%20XLSX%20&#24037;&#20316;&#34920;.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file:///D:\&#25105;&#30340;&#25991;&#26723;\Desktop\&#26032;&#24314;%20XLSX%20&#24037;&#20316;&#34920;.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5.xml"/><Relationship Id="rId1" Type="http://schemas.openxmlformats.org/officeDocument/2006/relationships/oleObject" Target="file:///D:\&#25105;&#30340;&#25991;&#26723;\Desktop\&#26032;&#24314;%20XLSX%20&#24037;&#20316;&#34920;.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6.xml"/><Relationship Id="rId1" Type="http://schemas.openxmlformats.org/officeDocument/2006/relationships/oleObject" Target="file:///D:\&#25105;&#30340;&#25991;&#26723;\Desktop\&#26032;&#24314;%20XLSX%20&#24037;&#20316;&#34920;.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D:\&#25105;&#30340;&#25991;&#26723;\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ysClr val="windowText" lastClr="000000">
                    <a:lumMod val="75000"/>
                    <a:lumOff val="25000"/>
                  </a:sysClr>
                </a:solidFill>
                <a:latin typeface="+mn-lt"/>
                <a:ea typeface="+mn-ea"/>
                <a:cs typeface="+mn-cs"/>
              </a:defRPr>
            </a:pPr>
            <a:r>
              <a:t>收、支决算总计</a:t>
            </a:r>
          </a:p>
        </c:rich>
      </c:tx>
      <c:layout/>
      <c:overlay val="0"/>
      <c:spPr>
        <a:noFill/>
        <a:ln>
          <a:noFill/>
        </a:ln>
        <a:effectLst/>
      </c:spPr>
    </c:title>
    <c:autoTitleDeleted val="0"/>
    <c:plotArea>
      <c:layout>
        <c:manualLayout>
          <c:layoutTarget val="inner"/>
          <c:xMode val="edge"/>
          <c:yMode val="edge"/>
          <c:x val="0.0748157894736842"/>
          <c:y val="0.179398148148148"/>
          <c:w val="0.900184210526316"/>
          <c:h val="0.617685185185185"/>
        </c:manualLayout>
      </c:layout>
      <c:barChart>
        <c:barDir val="col"/>
        <c:grouping val="clustered"/>
        <c:varyColors val="0"/>
        <c:ser>
          <c:idx val="0"/>
          <c:order val="0"/>
          <c:tx>
            <c:strRef>
              <c:f>'[新建 XLSX 工作表.xlsx]Sheet2'!$A$2</c:f>
              <c:strCache>
                <c:ptCount val="1"/>
                <c:pt idx="0">
                  <c:v>收支总额</c:v>
                </c:pt>
              </c:strCache>
            </c:strRef>
          </c:tx>
          <c:spPr>
            <a:solidFill>
              <a:srgbClr val="4874CB"/>
            </a:solidFill>
            <a:ln>
              <a:noFill/>
            </a:ln>
            <a:effectLst/>
          </c:spPr>
          <c:invertIfNegative val="0"/>
          <c:dLbls>
            <c:dLbl>
              <c:idx val="0"/>
              <c:layout>
                <c:manualLayout>
                  <c:x val="0.00394736842105263"/>
                  <c:y val="-0.01041666666666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rPr lang="en-US" altLang="zh-CN"/>
                      <a:t>206.56</a:t>
                    </a:r>
                    <a:r>
                      <a:rPr altLang="en-US"/>
                      <a:t>万元</a:t>
                    </a:r>
                    <a:endParaRPr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rPr lang="en-US" altLang="zh-CN"/>
                      <a:t>223.87</a:t>
                    </a:r>
                    <a:r>
                      <a:rPr altLang="en-US"/>
                      <a:t>万元</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工作表.xlsx]Sheet2'!$B$1:$C$1</c:f>
              <c:strCache>
                <c:ptCount val="2"/>
                <c:pt idx="0">
                  <c:v>2021年</c:v>
                </c:pt>
                <c:pt idx="1">
                  <c:v>2022年</c:v>
                </c:pt>
              </c:strCache>
            </c:strRef>
          </c:cat>
          <c:val>
            <c:numRef>
              <c:f>'[新建 XLSX 工作表.xlsx]Sheet2'!$B$2:$C$2</c:f>
              <c:numCache>
                <c:formatCode>General</c:formatCode>
                <c:ptCount val="2"/>
                <c:pt idx="0">
                  <c:v>206.56</c:v>
                </c:pt>
                <c:pt idx="1">
                  <c:v>223.87</c:v>
                </c:pt>
              </c:numCache>
            </c:numRef>
          </c:val>
        </c:ser>
        <c:dLbls>
          <c:showLegendKey val="0"/>
          <c:showVal val="1"/>
          <c:showCatName val="0"/>
          <c:showSerName val="0"/>
          <c:showPercent val="0"/>
          <c:showBubbleSize val="0"/>
        </c:dLbls>
        <c:gapWidth val="246"/>
        <c:overlap val="-28"/>
        <c:axId val="482731848"/>
        <c:axId val="444019323"/>
      </c:barChart>
      <c:catAx>
        <c:axId val="482731848"/>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44019323"/>
        <c:crosses val="autoZero"/>
        <c:auto val="1"/>
        <c:lblAlgn val="ctr"/>
        <c:lblOffset val="100"/>
        <c:noMultiLvlLbl val="0"/>
      </c:catAx>
      <c:valAx>
        <c:axId val="444019323"/>
        <c:scaling>
          <c:orientation val="minMax"/>
        </c:scaling>
        <c:delete val="0"/>
        <c:axPos val="l"/>
        <c:majorGridlines>
          <c:spPr>
            <a:ln w="9525" cap="flat" cmpd="sng" algn="ctr">
              <a:solidFill>
                <a:sysClr val="window" lastClr="FFFFFF">
                  <a:lumMod val="90200"/>
                </a:sys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82731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ysClr val="windowText" lastClr="000000">
                  <a:lumMod val="75000"/>
                  <a:lumOff val="25000"/>
                </a:sysClr>
              </a:solidFill>
              <a:latin typeface="+mn-lt"/>
              <a:ea typeface="+mn-ea"/>
              <a:cs typeface="+mn-cs"/>
            </a:defRPr>
          </a:pPr>
        </a:p>
      </c:txPr>
    </c:title>
    <c:autoTitleDeleted val="0"/>
    <c:plotArea>
      <c:layout/>
      <c:pieChart>
        <c:varyColors val="1"/>
        <c:ser>
          <c:idx val="0"/>
          <c:order val="0"/>
          <c:tx>
            <c:strRef>
              <c:f>'[新建 XLSX 工作表.xlsx]Sheet2'!$A$2</c:f>
              <c:strCache>
                <c:ptCount val="1"/>
                <c:pt idx="0">
                  <c:v>财政拨款收入</c:v>
                </c:pt>
              </c:strCache>
            </c:strRef>
          </c:tx>
          <c:spPr/>
          <c:explosion val="0"/>
          <c:dPt>
            <c:idx val="0"/>
            <c:bubble3D val="0"/>
            <c:spPr>
              <a:solidFill>
                <a:srgbClr val="4874CB"/>
              </a:solidFill>
              <a:ln>
                <a:solidFill>
                  <a:sysClr val="window" lastClr="FFFFFF"/>
                </a:solidFill>
              </a:ln>
              <a:effectLst/>
            </c:spPr>
          </c:dPt>
          <c:dLbls>
            <c:dLbl>
              <c:idx val="0"/>
              <c:layout>
                <c:manualLayout>
                  <c:x val="-0.0118428529326746"/>
                  <c:y val="-0.19497436802171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rPr>
                        <a:solidFill>
                          <a:sysClr val="windowText" lastClr="000000"/>
                        </a:solidFill>
                      </a:rPr>
                      <a:t>223.87万元</a:t>
                    </a:r>
                    <a:endParaRPr>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工作表.xlsx]Sheet2'!$B$1</c:f>
              <c:strCache>
                <c:ptCount val="1"/>
                <c:pt idx="0">
                  <c:v>销售额</c:v>
                </c:pt>
              </c:strCache>
            </c:strRef>
          </c:cat>
          <c:val>
            <c:numRef>
              <c:f>'[新建 XLSX 工作表.xlsx]Sheet2'!$B$2</c:f>
              <c:numCache>
                <c:formatCode>General</c:formatCode>
                <c:ptCount val="1"/>
                <c:pt idx="0">
                  <c:v>223.87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'[新建 XLSX 工作表.xlsx]Sheet2'!$B$1</c:f>
              <c:strCache>
                <c:ptCount val="1"/>
                <c:pt idx="0">
                  <c:v>列1</c:v>
                </c:pt>
              </c:strCache>
            </c:strRef>
          </c:tx>
          <c:spPr>
            <a:solidFill>
              <a:srgbClr val="4874CB"/>
            </a:solidFill>
            <a:ln>
              <a:solidFill>
                <a:srgbClr val="FF0000"/>
              </a:solidFill>
            </a:ln>
          </c:spPr>
          <c:explosion val="0"/>
          <c:dPt>
            <c:idx val="0"/>
            <c:bubble3D val="0"/>
            <c:spPr>
              <a:solidFill>
                <a:srgbClr val="4874CB"/>
              </a:solidFill>
              <a:ln>
                <a:solidFill>
                  <a:sysClr val="windowText" lastClr="000000"/>
                </a:solidFill>
              </a:ln>
              <a:effectLst/>
            </c:spPr>
          </c:dPt>
          <c:dPt>
            <c:idx val="1"/>
            <c:bubble3D val="0"/>
            <c:spPr>
              <a:solidFill>
                <a:srgbClr val="C00000"/>
              </a:solidFill>
              <a:ln>
                <a:solidFill>
                  <a:srgbClr val="FF0000"/>
                </a:solidFill>
              </a:ln>
              <a:effectLst/>
            </c:spPr>
          </c:dPt>
          <c:dLbls>
            <c:dLbl>
              <c:idx val="0"/>
              <c:layout>
                <c:manualLayout>
                  <c:x val="0.106103495603882"/>
                  <c:y val="-0.020935166854510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180.41万元，占</a:t>
                    </a:r>
                    <a:r>
                      <a:rPr lang="en-US" altLang="zh-CN"/>
                      <a:t>77%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52051036938183"/>
                  <c:y val="0.013896225304256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53.46万元，占</a:t>
                    </a:r>
                    <a:r>
                      <a:rPr lang="en-US" altLang="zh-CN"/>
                      <a:t>23%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工作表.xlsx]Sheet2'!$A$2:$A$3</c:f>
              <c:strCache>
                <c:ptCount val="2"/>
                <c:pt idx="0">
                  <c:v>基本支出</c:v>
                </c:pt>
                <c:pt idx="1">
                  <c:v>项目支出</c:v>
                </c:pt>
              </c:strCache>
            </c:strRef>
          </c:cat>
          <c:val>
            <c:numRef>
              <c:f>'[新建 XLSX 工作表.xlsx]Sheet2'!$B$2:$B$3</c:f>
              <c:numCache>
                <c:formatCode>General</c:formatCode>
                <c:ptCount val="2"/>
                <c:pt idx="0">
                  <c:v>180.41</c:v>
                </c:pt>
                <c:pt idx="1">
                  <c:v>53.46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ysClr val="windowText" lastClr="000000">
                  <a:lumMod val="75000"/>
                  <a:lumOff val="25000"/>
                </a:sysClr>
              </a:solidFill>
              <a:latin typeface="+mn-lt"/>
              <a:ea typeface="+mn-ea"/>
              <a:cs typeface="+mn-cs"/>
            </a:defRPr>
          </a:pPr>
        </a:p>
      </c:txPr>
    </c:title>
    <c:autoTitleDeleted val="0"/>
    <c:plotArea>
      <c:layout/>
      <c:barChart>
        <c:barDir val="col"/>
        <c:grouping val="clustered"/>
        <c:varyColors val="0"/>
        <c:ser>
          <c:idx val="0"/>
          <c:order val="0"/>
          <c:tx>
            <c:strRef>
              <c:f>'[新建 XLSX 工作表.xlsx]Sheet2'!$A$2</c:f>
              <c:strCache>
                <c:ptCount val="1"/>
                <c:pt idx="0">
                  <c:v>财政拨款收、支总计</c:v>
                </c:pt>
              </c:strCache>
            </c:strRef>
          </c:tx>
          <c:spPr>
            <a:solidFill>
              <a:srgbClr val="4874CB"/>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206.56万元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233.87万元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工作表.xlsx]Sheet2'!$B$1:$C$1</c:f>
              <c:strCache>
                <c:ptCount val="2"/>
                <c:pt idx="0">
                  <c:v>2021年</c:v>
                </c:pt>
                <c:pt idx="1">
                  <c:v>2022年</c:v>
                </c:pt>
              </c:strCache>
            </c:strRef>
          </c:cat>
          <c:val>
            <c:numRef>
              <c:f>'[新建 XLSX 工作表.xlsx]Sheet2'!$B$2:$C$2</c:f>
              <c:numCache>
                <c:formatCode>General</c:formatCode>
                <c:ptCount val="2"/>
                <c:pt idx="0">
                  <c:v>206.56</c:v>
                </c:pt>
                <c:pt idx="1">
                  <c:v>233.87</c:v>
                </c:pt>
              </c:numCache>
            </c:numRef>
          </c:val>
        </c:ser>
        <c:dLbls>
          <c:showLegendKey val="0"/>
          <c:showVal val="1"/>
          <c:showCatName val="0"/>
          <c:showSerName val="0"/>
          <c:showPercent val="0"/>
          <c:showBubbleSize val="0"/>
        </c:dLbls>
        <c:gapWidth val="246"/>
        <c:overlap val="-28"/>
        <c:axId val="473868548"/>
        <c:axId val="857109275"/>
      </c:barChart>
      <c:catAx>
        <c:axId val="473868548"/>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7109275"/>
        <c:crosses val="autoZero"/>
        <c:auto val="1"/>
        <c:lblAlgn val="ctr"/>
        <c:lblOffset val="100"/>
        <c:noMultiLvlLbl val="0"/>
      </c:catAx>
      <c:valAx>
        <c:axId val="857109275"/>
        <c:scaling>
          <c:orientation val="minMax"/>
        </c:scaling>
        <c:delete val="0"/>
        <c:axPos val="l"/>
        <c:majorGridlines>
          <c:spPr>
            <a:ln w="9525" cap="flat" cmpd="sng" algn="ctr">
              <a:solidFill>
                <a:sysClr val="window" lastClr="FFFFFF">
                  <a:lumMod val="90200"/>
                </a:sys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738685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ysClr val="windowText" lastClr="000000">
                  <a:lumMod val="75000"/>
                  <a:lumOff val="25000"/>
                </a:sysClr>
              </a:solidFill>
              <a:latin typeface="+mn-lt"/>
              <a:ea typeface="+mn-ea"/>
              <a:cs typeface="+mn-cs"/>
            </a:defRPr>
          </a:pPr>
        </a:p>
      </c:txPr>
    </c:title>
    <c:autoTitleDeleted val="0"/>
    <c:plotArea>
      <c:layout/>
      <c:barChart>
        <c:barDir val="col"/>
        <c:grouping val="clustered"/>
        <c:varyColors val="0"/>
        <c:ser>
          <c:idx val="0"/>
          <c:order val="0"/>
          <c:tx>
            <c:strRef>
              <c:f>'[新建 XLSX 工作表.xlsx]Sheet2'!$A$2</c:f>
              <c:strCache>
                <c:ptCount val="1"/>
                <c:pt idx="0">
                  <c:v>一般公共预算财政拨款支出</c:v>
                </c:pt>
              </c:strCache>
            </c:strRef>
          </c:tx>
          <c:spPr>
            <a:solidFill>
              <a:srgbClr val="4874CB"/>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192.58万元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233.87万元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工作表.xlsx]Sheet2'!$B$1:$C$1</c:f>
              <c:strCache>
                <c:ptCount val="2"/>
                <c:pt idx="0">
                  <c:v>2021年</c:v>
                </c:pt>
                <c:pt idx="1">
                  <c:v>2022年</c:v>
                </c:pt>
              </c:strCache>
            </c:strRef>
          </c:cat>
          <c:val>
            <c:numRef>
              <c:f>'[新建 XLSX 工作表.xlsx]Sheet2'!$B$2:$C$2</c:f>
              <c:numCache>
                <c:formatCode>General</c:formatCode>
                <c:ptCount val="2"/>
                <c:pt idx="0">
                  <c:v>192.58</c:v>
                </c:pt>
                <c:pt idx="1">
                  <c:v>233.87</c:v>
                </c:pt>
              </c:numCache>
            </c:numRef>
          </c:val>
        </c:ser>
        <c:dLbls>
          <c:showLegendKey val="0"/>
          <c:showVal val="1"/>
          <c:showCatName val="0"/>
          <c:showSerName val="0"/>
          <c:showPercent val="0"/>
          <c:showBubbleSize val="0"/>
        </c:dLbls>
        <c:gapWidth val="246"/>
        <c:overlap val="-28"/>
        <c:axId val="473868548"/>
        <c:axId val="857109275"/>
      </c:barChart>
      <c:catAx>
        <c:axId val="473868548"/>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7109275"/>
        <c:crosses val="autoZero"/>
        <c:auto val="1"/>
        <c:lblAlgn val="ctr"/>
        <c:lblOffset val="100"/>
        <c:noMultiLvlLbl val="0"/>
      </c:catAx>
      <c:valAx>
        <c:axId val="857109275"/>
        <c:scaling>
          <c:orientation val="minMax"/>
        </c:scaling>
        <c:delete val="0"/>
        <c:axPos val="l"/>
        <c:majorGridlines>
          <c:spPr>
            <a:ln w="9525" cap="flat" cmpd="sng" algn="ctr">
              <a:solidFill>
                <a:sysClr val="window" lastClr="FFFFFF">
                  <a:lumMod val="90200"/>
                </a:sys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738685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ysClr val="windowText" lastClr="000000">
                    <a:lumMod val="75000"/>
                    <a:lumOff val="25000"/>
                  </a:sysClr>
                </a:solidFill>
                <a:latin typeface="+mn-lt"/>
                <a:ea typeface="+mn-ea"/>
                <a:cs typeface="+mn-cs"/>
              </a:defRPr>
            </a:pPr>
            <a:r>
              <a:t>一般公共预算财政拨款支出</a:t>
            </a:r>
          </a:p>
        </c:rich>
      </c:tx>
      <c:layout/>
      <c:overlay val="0"/>
      <c:spPr>
        <a:noFill/>
        <a:ln>
          <a:noFill/>
        </a:ln>
        <a:effectLst/>
      </c:spPr>
    </c:title>
    <c:autoTitleDeleted val="0"/>
    <c:plotArea>
      <c:layout/>
      <c:pieChart>
        <c:varyColors val="1"/>
        <c:ser>
          <c:idx val="0"/>
          <c:order val="0"/>
          <c:tx>
            <c:strRef>
              <c:f>'[新建 XLSX 工作表.xlsx]Sheet2'!$B$1</c:f>
              <c:strCache>
                <c:ptCount val="1"/>
                <c:pt idx="0">
                  <c:v>销售额</c:v>
                </c:pt>
              </c:strCache>
            </c:strRef>
          </c:tx>
          <c:spPr/>
          <c:explosion val="0"/>
          <c:dPt>
            <c:idx val="0"/>
            <c:bubble3D val="0"/>
            <c:spPr>
              <a:solidFill>
                <a:srgbClr val="4874CB"/>
              </a:solidFill>
              <a:ln>
                <a:solidFill>
                  <a:sysClr val="window" lastClr="FFFFFF"/>
                </a:solidFill>
              </a:ln>
              <a:effectLst/>
            </c:spPr>
          </c:dPt>
          <c:dPt>
            <c:idx val="1"/>
            <c:bubble3D val="0"/>
            <c:spPr>
              <a:solidFill>
                <a:srgbClr val="EE822F"/>
              </a:solidFill>
              <a:ln>
                <a:solidFill>
                  <a:sysClr val="window" lastClr="FFFFFF"/>
                </a:solidFill>
              </a:ln>
              <a:effectLst/>
            </c:spPr>
          </c:dPt>
          <c:dPt>
            <c:idx val="2"/>
            <c:bubble3D val="0"/>
            <c:spPr>
              <a:solidFill>
                <a:srgbClr val="F2BA02"/>
              </a:solidFill>
              <a:ln>
                <a:solidFill>
                  <a:sysClr val="window" lastClr="FFFFFF"/>
                </a:solidFill>
              </a:ln>
              <a:effectLst/>
            </c:spPr>
          </c:dPt>
          <c:dLbls>
            <c:dLbl>
              <c:idx val="0"/>
              <c:layout>
                <c:manualLayout>
                  <c:x val="-0.00696357844352534"/>
                  <c:y val="-0.20185671113052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213.96万元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8356781113786"/>
                  <c:y val="-0.0018309992955739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7.16万元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05759276667461"/>
                  <c:y val="-0.032860586199697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ysClr val="windowText" lastClr="000000">
                            <a:lumMod val="75000"/>
                            <a:lumOff val="25000"/>
                          </a:sysClr>
                        </a:solidFill>
                        <a:latin typeface="+mn-lt"/>
                        <a:ea typeface="+mn-ea"/>
                        <a:cs typeface="+mn-cs"/>
                      </a:defRPr>
                    </a:pPr>
                    <a:r>
                      <a:t>12.75万元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lumMod val="75000"/>
                        <a:lumOff val="25000"/>
                      </a:sys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'[新建 XLSX 工作表.xlsx]Sheet2'!$A$2:$A$4</c:f>
              <c:strCache>
                <c:ptCount val="3"/>
                <c:pt idx="0">
                  <c:v>社会保障和就业支出</c:v>
                </c:pt>
                <c:pt idx="1">
                  <c:v>卫生健康支出</c:v>
                </c:pt>
                <c:pt idx="2">
                  <c:v>住房保障支出</c:v>
                </c:pt>
              </c:strCache>
            </c:strRef>
          </c:cat>
          <c:val>
            <c:numRef>
              <c:f>'[新建 XLSX 工作表.xlsx]Sheet2'!$B$2:$B$4</c:f>
              <c:numCache>
                <c:formatCode>General</c:formatCode>
                <c:ptCount val="3"/>
                <c:pt idx="0">
                  <c:v>213.96</c:v>
                </c:pt>
                <c:pt idx="1">
                  <c:v>7.16</c:v>
                </c:pt>
                <c:pt idx="2">
                  <c:v>12.75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a:t>
            </a:r>
            <a:r>
              <a:rPr altLang="en-US"/>
              <a:t>三公经费</a:t>
            </a:r>
            <a:r>
              <a:rPr lang="en-US" altLang="zh-CN"/>
              <a:t>”</a:t>
            </a:r>
            <a:r>
              <a:rPr altLang="en-US"/>
              <a:t>财政拨款支出</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solidFill>
          <a:sysClr val="window" lastClr="FFFFFF"/>
        </a:solidFill>
      </a:ln>
      <a:effectLst/>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solidFill>
          <a:sysClr val="window" lastClr="FFFFFF"/>
        </a:solidFill>
      </a:ln>
      <a:effectLst/>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solidFill>
          <a:sysClr val="window" lastClr="FFFFFF"/>
        </a:solidFill>
      </a:ln>
      <a:effectLst/>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10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ysClr val="windowText" lastClr="000000"/>
    </cs:fontRef>
    <cs:spPr>
      <a:ln>
        <a:noFill/>
      </a:ln>
      <a:effectLst/>
    </cs:spPr>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 lastClr="FFFFFF">
            <a:lumMod val="902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75000"/>
        <a:lumOff val="25000"/>
      </a:sysClr>
    </cs:fontRef>
    <cs:defRPr sz="1400" b="1" kern="120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6951</Words>
  <Characters>8046</Characters>
  <Lines>61</Lines>
  <Paragraphs>17</Paragraphs>
  <TotalTime>8</TotalTime>
  <ScaleCrop>false</ScaleCrop>
  <LinksUpToDate>false</LinksUpToDate>
  <CharactersWithSpaces>8315</CharactersWithSpaces>
  <Application>WPS Office_11.8.2.1125_F1E327BC-269C-435d-A152-05C5408002CA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2023-10-23T10:53:08Z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6B70361D626A4593B4A9C4A901EC4F63</vt:lpwstr>
  </property>
</Properties>
</file>