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bookmarkStart w:id="213" w:name="_GoBack"/>
      <w:bookmarkEnd w:id="213"/>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2323"/>
      <w:bookmarkStart w:id="2" w:name="_Toc15377193"/>
      <w:bookmarkStart w:id="3" w:name="_Toc15378441"/>
      <w:bookmarkStart w:id="4" w:name="_Toc15377425"/>
      <w:bookmarkStart w:id="5" w:name="_Toc15396597"/>
      <w:bookmarkStart w:id="6" w:name="_Toc14947"/>
      <w:bookmarkStart w:id="7" w:name="_Toc19981"/>
      <w:bookmarkStart w:id="8" w:name="_Toc15396475"/>
      <w:bookmarkStart w:id="9" w:name="_Toc1820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bookmarkEnd w:id="7"/>
      <w:bookmarkEnd w:id="8"/>
      <w:bookmarkEnd w:id="9"/>
    </w:p>
    <w:p>
      <w:pPr>
        <w:adjustRightInd w:val="0"/>
        <w:snapToGrid w:val="0"/>
        <w:spacing w:line="360" w:lineRule="auto"/>
        <w:jc w:val="center"/>
        <w:outlineLvl w:val="0"/>
        <w:rPr>
          <w:rFonts w:hint="eastAsia" w:ascii="方正小标宋简体" w:hAnsi="方正小标宋简体" w:eastAsia="方正小标宋简体"/>
          <w:sz w:val="72"/>
          <w:lang w:val="zh-CN"/>
        </w:rPr>
      </w:pPr>
      <w:bookmarkStart w:id="10" w:name="_Toc13908"/>
      <w:bookmarkStart w:id="11" w:name="_Toc9254"/>
      <w:bookmarkStart w:id="12" w:name="_Toc15377426"/>
      <w:bookmarkStart w:id="13" w:name="_Toc30047"/>
      <w:bookmarkStart w:id="14" w:name="_Toc15378442"/>
      <w:bookmarkStart w:id="15" w:name="_Toc15396476"/>
      <w:bookmarkStart w:id="16" w:name="_Toc2687"/>
      <w:bookmarkStart w:id="17" w:name="_Toc15396598"/>
      <w:bookmarkStart w:id="18" w:name="_Toc15377194"/>
      <w:r>
        <w:rPr>
          <w:rFonts w:hint="eastAsia" w:ascii="方正小标宋简体" w:hAnsi="方正小标宋简体" w:eastAsia="方正小标宋简体" w:cs="方正小标宋简体"/>
          <w:sz w:val="72"/>
          <w:szCs w:val="72"/>
        </w:rPr>
        <w:t>广元市</w:t>
      </w:r>
      <w:bookmarkEnd w:id="0"/>
      <w:bookmarkStart w:id="19" w:name="_Toc15306268"/>
      <w:r>
        <w:rPr>
          <w:rFonts w:hint="eastAsia" w:ascii="方正小标宋简体" w:hAnsi="方正小标宋简体" w:eastAsia="方正小标宋简体"/>
          <w:sz w:val="72"/>
          <w:lang w:val="zh-CN"/>
        </w:rPr>
        <w:t>农民工服务中心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10"/>
      <w:bookmarkEnd w:id="11"/>
      <w:bookmarkEnd w:id="12"/>
      <w:bookmarkEnd w:id="13"/>
      <w:bookmarkEnd w:id="14"/>
      <w:bookmarkEnd w:id="15"/>
      <w:bookmarkEnd w:id="16"/>
      <w:bookmarkEnd w:id="17"/>
      <w:bookmarkEnd w:id="18"/>
      <w:bookmarkEnd w:id="19"/>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1"/>
        <w:rPr>
          <w:rFonts w:hint="eastAsia"/>
        </w:rPr>
      </w:pPr>
      <w:r>
        <w:rPr>
          <w:rFonts w:hint="eastAsia"/>
        </w:rPr>
        <w:t>公开时间：2023年10 月</w:t>
      </w:r>
      <w:r>
        <w:rPr>
          <w:rFonts w:hint="eastAsia"/>
          <w:lang w:val="en-US" w:eastAsia="zh-CN"/>
        </w:rPr>
        <w:t>16</w:t>
      </w:r>
      <w:r>
        <w:rPr>
          <w:rFonts w:hint="eastAsia"/>
        </w:rPr>
        <w:t xml:space="preserve"> 日</w:t>
      </w:r>
    </w:p>
    <w:p>
      <w:pPr>
        <w:rPr>
          <w:rFonts w:hint="eastAsia"/>
        </w:rPr>
      </w:pPr>
    </w:p>
    <w:sdt>
      <w:sdtPr>
        <w:rPr>
          <w:rFonts w:ascii="宋体" w:hAnsi="宋体" w:eastAsia="宋体" w:cs="Times New Roman"/>
          <w:kern w:val="2"/>
          <w:sz w:val="21"/>
          <w:szCs w:val="24"/>
          <w:lang w:val="en-US" w:eastAsia="zh-CN" w:bidi="ar-SA"/>
        </w:rPr>
        <w:id w:val="14745427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8"/>
            <w:tabs>
              <w:tab w:val="right" w:leader="dot" w:pos="8306"/>
            </w:tabs>
            <w:rPr>
              <w:b/>
            </w:rPr>
          </w:pPr>
          <w:r>
            <w:rPr>
              <w:b/>
            </w:rPr>
            <w:fldChar w:fldCharType="begin"/>
          </w:r>
          <w:r>
            <w:rPr>
              <w:b/>
            </w:rPr>
            <w:instrText xml:space="preserve"> HYPERLINK \l _Toc11186 </w:instrText>
          </w:r>
          <w:r>
            <w:rPr>
              <w:b/>
            </w:rPr>
            <w:fldChar w:fldCharType="separate"/>
          </w:r>
          <w:r>
            <w:rPr>
              <w:rFonts w:hint="eastAsia" w:ascii="黑体" w:hAnsi="黑体" w:eastAsia="黑体"/>
              <w:b/>
              <w:highlight w:val="none"/>
            </w:rPr>
            <w:t>第一部分 单位</w:t>
          </w:r>
          <w:r>
            <w:rPr>
              <w:rFonts w:hint="eastAsia" w:ascii="黑体" w:hAnsi="黑体" w:eastAsia="黑体"/>
              <w:b/>
              <w:bCs w:val="0"/>
              <w:highlight w:val="none"/>
            </w:rPr>
            <w:t>概况</w:t>
          </w:r>
          <w:r>
            <w:rPr>
              <w:b/>
            </w:rPr>
            <w:tab/>
          </w:r>
          <w:r>
            <w:rPr>
              <w:b/>
            </w:rPr>
            <w:fldChar w:fldCharType="begin"/>
          </w:r>
          <w:r>
            <w:rPr>
              <w:b/>
            </w:rPr>
            <w:instrText xml:space="preserve"> PAGEREF _Toc11186 \h </w:instrText>
          </w:r>
          <w:r>
            <w:rPr>
              <w:b/>
            </w:rPr>
            <w:fldChar w:fldCharType="separate"/>
          </w:r>
          <w:r>
            <w:rPr>
              <w:b/>
            </w:rPr>
            <w:t>3</w:t>
          </w:r>
          <w:r>
            <w:rPr>
              <w:b/>
            </w:rPr>
            <w:fldChar w:fldCharType="end"/>
          </w:r>
          <w:r>
            <w:rPr>
              <w:b/>
            </w:rPr>
            <w:fldChar w:fldCharType="end"/>
          </w:r>
        </w:p>
        <w:p>
          <w:pPr>
            <w:pStyle w:val="39"/>
            <w:tabs>
              <w:tab w:val="right" w:leader="dot" w:pos="8306"/>
            </w:tabs>
          </w:pPr>
          <w:r>
            <w:fldChar w:fldCharType="begin"/>
          </w:r>
          <w:r>
            <w:instrText xml:space="preserve"> HYPERLINK \l _Toc6455 </w:instrText>
          </w:r>
          <w:r>
            <w:fldChar w:fldCharType="separate"/>
          </w:r>
          <w:r>
            <w:rPr>
              <w:rFonts w:hint="eastAsia" w:ascii="黑体" w:hAnsi="黑体" w:eastAsia="黑体"/>
              <w:bCs w:val="0"/>
              <w:highlight w:val="none"/>
              <w:lang w:eastAsia="zh-CN"/>
            </w:rPr>
            <w:t>一</w:t>
          </w:r>
          <w:r>
            <w:rPr>
              <w:rFonts w:hint="eastAsia" w:ascii="黑体" w:hAnsi="黑体" w:eastAsia="黑体"/>
              <w:bCs w:val="0"/>
              <w:highlight w:val="none"/>
              <w:lang w:val="en-US" w:eastAsia="zh-CN"/>
            </w:rPr>
            <w:t>.</w:t>
          </w:r>
          <w:r>
            <w:rPr>
              <w:rFonts w:hint="eastAsia" w:ascii="黑体" w:hAnsi="黑体" w:eastAsia="黑体"/>
              <w:bCs w:val="0"/>
              <w:highlight w:val="none"/>
            </w:rPr>
            <w:t>主要职责</w:t>
          </w:r>
          <w:r>
            <w:tab/>
          </w:r>
          <w:r>
            <w:fldChar w:fldCharType="begin"/>
          </w:r>
          <w:r>
            <w:instrText xml:space="preserve"> PAGEREF _Toc6455 \h </w:instrText>
          </w:r>
          <w:r>
            <w:fldChar w:fldCharType="separate"/>
          </w:r>
          <w:r>
            <w:t>3</w:t>
          </w:r>
          <w:r>
            <w:fldChar w:fldCharType="end"/>
          </w:r>
          <w:r>
            <w:fldChar w:fldCharType="end"/>
          </w:r>
        </w:p>
        <w:p>
          <w:pPr>
            <w:pStyle w:val="39"/>
            <w:tabs>
              <w:tab w:val="right" w:leader="dot" w:pos="8306"/>
            </w:tabs>
          </w:pPr>
          <w:r>
            <w:fldChar w:fldCharType="begin"/>
          </w:r>
          <w:r>
            <w:instrText xml:space="preserve"> HYPERLINK \l _Toc3392 </w:instrText>
          </w:r>
          <w:r>
            <w:fldChar w:fldCharType="separate"/>
          </w:r>
          <w:r>
            <w:rPr>
              <w:rFonts w:hint="eastAsia" w:ascii="黑体" w:hAnsi="黑体" w:eastAsia="黑体"/>
              <w:bCs w:val="0"/>
              <w:lang w:eastAsia="zh-CN"/>
            </w:rPr>
            <w:t xml:space="preserve">二. </w:t>
          </w:r>
          <w:r>
            <w:rPr>
              <w:rFonts w:hint="eastAsia" w:ascii="黑体" w:hAnsi="黑体" w:eastAsia="黑体"/>
              <w:bCs w:val="0"/>
              <w:highlight w:val="none"/>
              <w:lang w:eastAsia="zh-CN"/>
            </w:rPr>
            <w:t>机构设置</w:t>
          </w:r>
          <w:r>
            <w:tab/>
          </w:r>
          <w:r>
            <w:fldChar w:fldCharType="begin"/>
          </w:r>
          <w:r>
            <w:instrText xml:space="preserve"> PAGEREF _Toc3392 \h </w:instrText>
          </w:r>
          <w:r>
            <w:fldChar w:fldCharType="separate"/>
          </w:r>
          <w:r>
            <w:t>3</w:t>
          </w:r>
          <w:r>
            <w:fldChar w:fldCharType="end"/>
          </w:r>
          <w:r>
            <w:fldChar w:fldCharType="end"/>
          </w:r>
        </w:p>
        <w:p>
          <w:pPr>
            <w:pStyle w:val="38"/>
            <w:tabs>
              <w:tab w:val="right" w:leader="dot" w:pos="8306"/>
            </w:tabs>
            <w:rPr>
              <w:b/>
            </w:rPr>
          </w:pPr>
          <w:r>
            <w:rPr>
              <w:b/>
            </w:rPr>
            <w:fldChar w:fldCharType="begin"/>
          </w:r>
          <w:r>
            <w:rPr>
              <w:b/>
            </w:rPr>
            <w:instrText xml:space="preserve"> HYPERLINK \l _Toc25840 </w:instrText>
          </w:r>
          <w:r>
            <w:rPr>
              <w:b/>
            </w:rPr>
            <w:fldChar w:fldCharType="separate"/>
          </w:r>
          <w:r>
            <w:rPr>
              <w:rFonts w:hint="eastAsia" w:ascii="黑体" w:hAnsi="黑体" w:eastAsia="黑体"/>
              <w:b/>
              <w:highlight w:val="none"/>
            </w:rPr>
            <w:t>第二部分 2022年度</w:t>
          </w:r>
          <w:r>
            <w:rPr>
              <w:rFonts w:hint="eastAsia" w:ascii="黑体" w:hAnsi="黑体" w:eastAsia="黑体"/>
              <w:b/>
              <w:bCs/>
              <w:highlight w:val="none"/>
            </w:rPr>
            <w:t>单位决算情况说明</w:t>
          </w:r>
          <w:r>
            <w:rPr>
              <w:b/>
            </w:rPr>
            <w:tab/>
          </w:r>
          <w:r>
            <w:rPr>
              <w:b/>
            </w:rPr>
            <w:fldChar w:fldCharType="begin"/>
          </w:r>
          <w:r>
            <w:rPr>
              <w:b/>
            </w:rPr>
            <w:instrText xml:space="preserve"> PAGEREF _Toc25840 \h </w:instrText>
          </w:r>
          <w:r>
            <w:rPr>
              <w:b/>
            </w:rPr>
            <w:fldChar w:fldCharType="separate"/>
          </w:r>
          <w:r>
            <w:rPr>
              <w:b/>
            </w:rPr>
            <w:t>5</w:t>
          </w:r>
          <w:r>
            <w:rPr>
              <w:b/>
            </w:rPr>
            <w:fldChar w:fldCharType="end"/>
          </w:r>
          <w:r>
            <w:rPr>
              <w:b/>
            </w:rPr>
            <w:fldChar w:fldCharType="end"/>
          </w:r>
        </w:p>
        <w:p>
          <w:pPr>
            <w:pStyle w:val="39"/>
            <w:tabs>
              <w:tab w:val="right" w:leader="dot" w:pos="8306"/>
            </w:tabs>
          </w:pPr>
          <w:r>
            <w:fldChar w:fldCharType="begin"/>
          </w:r>
          <w:r>
            <w:instrText xml:space="preserve"> HYPERLINK \l _Toc19867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_Toc19867 \h </w:instrText>
          </w:r>
          <w:r>
            <w:fldChar w:fldCharType="separate"/>
          </w:r>
          <w:r>
            <w:t>5</w:t>
          </w:r>
          <w:r>
            <w:fldChar w:fldCharType="end"/>
          </w:r>
          <w:r>
            <w:fldChar w:fldCharType="end"/>
          </w:r>
        </w:p>
        <w:p>
          <w:pPr>
            <w:pStyle w:val="39"/>
            <w:tabs>
              <w:tab w:val="right" w:leader="dot" w:pos="8306"/>
            </w:tabs>
          </w:pPr>
          <w:r>
            <w:fldChar w:fldCharType="begin"/>
          </w:r>
          <w:r>
            <w:instrText xml:space="preserve"> HYPERLINK \l _Toc24790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_Toc24790 \h </w:instrText>
          </w:r>
          <w:r>
            <w:fldChar w:fldCharType="separate"/>
          </w:r>
          <w:r>
            <w:t>5</w:t>
          </w:r>
          <w:r>
            <w:fldChar w:fldCharType="end"/>
          </w:r>
          <w:r>
            <w:fldChar w:fldCharType="end"/>
          </w:r>
        </w:p>
        <w:p>
          <w:pPr>
            <w:pStyle w:val="39"/>
            <w:tabs>
              <w:tab w:val="right" w:leader="dot" w:pos="8306"/>
            </w:tabs>
          </w:pPr>
          <w:r>
            <w:fldChar w:fldCharType="begin"/>
          </w:r>
          <w:r>
            <w:instrText xml:space="preserve"> HYPERLINK \l _Toc17713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_Toc17713 \h </w:instrText>
          </w:r>
          <w:r>
            <w:fldChar w:fldCharType="separate"/>
          </w:r>
          <w:r>
            <w:t>5</w:t>
          </w:r>
          <w:r>
            <w:fldChar w:fldCharType="end"/>
          </w:r>
          <w:r>
            <w:fldChar w:fldCharType="end"/>
          </w:r>
        </w:p>
        <w:p>
          <w:pPr>
            <w:pStyle w:val="39"/>
            <w:tabs>
              <w:tab w:val="right" w:leader="dot" w:pos="8306"/>
            </w:tabs>
          </w:pPr>
          <w:r>
            <w:fldChar w:fldCharType="begin"/>
          </w:r>
          <w:r>
            <w:instrText xml:space="preserve"> HYPERLINK \l _Toc7744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_Toc7744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_Toc11030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_Toc11030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_Toc32565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_Toc32565 \h </w:instrText>
          </w:r>
          <w:r>
            <w:fldChar w:fldCharType="separate"/>
          </w:r>
          <w:r>
            <w:t>8</w:t>
          </w:r>
          <w:r>
            <w:fldChar w:fldCharType="end"/>
          </w:r>
          <w:r>
            <w:fldChar w:fldCharType="end"/>
          </w:r>
        </w:p>
        <w:p>
          <w:pPr>
            <w:pStyle w:val="39"/>
            <w:tabs>
              <w:tab w:val="right" w:leader="dot" w:pos="8306"/>
            </w:tabs>
          </w:pPr>
          <w:r>
            <w:fldChar w:fldCharType="begin"/>
          </w:r>
          <w:r>
            <w:instrText xml:space="preserve"> HYPERLINK \l _Toc8493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_Toc8493 \h </w:instrText>
          </w:r>
          <w:r>
            <w:fldChar w:fldCharType="separate"/>
          </w:r>
          <w:r>
            <w:t>9</w:t>
          </w:r>
          <w:r>
            <w:fldChar w:fldCharType="end"/>
          </w:r>
          <w:r>
            <w:fldChar w:fldCharType="end"/>
          </w:r>
        </w:p>
        <w:p>
          <w:pPr>
            <w:pStyle w:val="39"/>
            <w:tabs>
              <w:tab w:val="right" w:leader="dot" w:pos="8306"/>
            </w:tabs>
          </w:pPr>
          <w:r>
            <w:fldChar w:fldCharType="begin"/>
          </w:r>
          <w:r>
            <w:instrText xml:space="preserve"> HYPERLINK \l _Toc20518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_Toc20518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_Toc27273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_Toc27273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_Toc13223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_Toc13223 \h </w:instrText>
          </w:r>
          <w:r>
            <w:fldChar w:fldCharType="separate"/>
          </w:r>
          <w:r>
            <w:t>10</w:t>
          </w:r>
          <w:r>
            <w:fldChar w:fldCharType="end"/>
          </w:r>
          <w:r>
            <w:fldChar w:fldCharType="end"/>
          </w:r>
        </w:p>
        <w:p>
          <w:pPr>
            <w:pStyle w:val="38"/>
            <w:tabs>
              <w:tab w:val="right" w:leader="dot" w:pos="8306"/>
            </w:tabs>
            <w:rPr>
              <w:b/>
            </w:rPr>
          </w:pPr>
          <w:r>
            <w:rPr>
              <w:b/>
            </w:rPr>
            <w:fldChar w:fldCharType="begin"/>
          </w:r>
          <w:r>
            <w:rPr>
              <w:b/>
            </w:rPr>
            <w:instrText xml:space="preserve"> HYPERLINK \l _Toc9449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_Toc9449 \h </w:instrText>
          </w:r>
          <w:r>
            <w:rPr>
              <w:b/>
            </w:rPr>
            <w:fldChar w:fldCharType="separate"/>
          </w:r>
          <w:r>
            <w:rPr>
              <w:b/>
            </w:rPr>
            <w:t>12</w:t>
          </w:r>
          <w:r>
            <w:rPr>
              <w:b/>
            </w:rPr>
            <w:fldChar w:fldCharType="end"/>
          </w:r>
          <w:r>
            <w:rPr>
              <w:b/>
            </w:rPr>
            <w:fldChar w:fldCharType="end"/>
          </w:r>
        </w:p>
        <w:p>
          <w:pPr>
            <w:pStyle w:val="38"/>
            <w:tabs>
              <w:tab w:val="right" w:leader="dot" w:pos="8306"/>
            </w:tabs>
            <w:rPr>
              <w:b/>
            </w:rPr>
          </w:pPr>
          <w:r>
            <w:rPr>
              <w:b/>
            </w:rPr>
            <w:fldChar w:fldCharType="begin"/>
          </w:r>
          <w:r>
            <w:rPr>
              <w:b/>
            </w:rPr>
            <w:instrText xml:space="preserve"> HYPERLINK \l _Toc19432 </w:instrText>
          </w:r>
          <w:r>
            <w:rPr>
              <w:b/>
            </w:rPr>
            <w:fldChar w:fldCharType="separate"/>
          </w:r>
          <w:r>
            <w:rPr>
              <w:rFonts w:hint="eastAsia" w:ascii="黑体" w:hAnsi="黑体" w:eastAsia="黑体" w:cs="黑体"/>
              <w:b/>
              <w:szCs w:val="44"/>
              <w:lang w:val="en-US" w:eastAsia="zh-CN"/>
            </w:rPr>
            <w:t xml:space="preserve">第四部分 </w:t>
          </w:r>
          <w:r>
            <w:rPr>
              <w:rFonts w:hint="eastAsia" w:ascii="黑体" w:hAnsi="黑体" w:eastAsia="黑体"/>
              <w:b/>
              <w:szCs w:val="44"/>
              <w:highlight w:val="none"/>
            </w:rPr>
            <w:t>附件</w:t>
          </w:r>
          <w:r>
            <w:rPr>
              <w:b/>
            </w:rPr>
            <w:tab/>
          </w:r>
          <w:r>
            <w:rPr>
              <w:b/>
            </w:rPr>
            <w:fldChar w:fldCharType="begin"/>
          </w:r>
          <w:r>
            <w:rPr>
              <w:b/>
            </w:rPr>
            <w:instrText xml:space="preserve"> PAGEREF _Toc19432 \h </w:instrText>
          </w:r>
          <w:r>
            <w:rPr>
              <w:b/>
            </w:rPr>
            <w:fldChar w:fldCharType="separate"/>
          </w:r>
          <w:r>
            <w:rPr>
              <w:b/>
            </w:rPr>
            <w:t>14</w:t>
          </w:r>
          <w:r>
            <w:rPr>
              <w:b/>
            </w:rPr>
            <w:fldChar w:fldCharType="end"/>
          </w:r>
          <w:r>
            <w:rPr>
              <w:b/>
            </w:rPr>
            <w:fldChar w:fldCharType="end"/>
          </w:r>
        </w:p>
        <w:p>
          <w:pPr>
            <w:pStyle w:val="38"/>
            <w:tabs>
              <w:tab w:val="right" w:leader="dot" w:pos="8306"/>
            </w:tabs>
            <w:rPr>
              <w:b/>
            </w:rPr>
          </w:pPr>
          <w:r>
            <w:rPr>
              <w:b/>
            </w:rPr>
            <w:fldChar w:fldCharType="begin"/>
          </w:r>
          <w:r>
            <w:rPr>
              <w:b/>
            </w:rPr>
            <w:instrText xml:space="preserve"> HYPERLINK \l _Toc27554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_Toc27554 \h </w:instrText>
          </w:r>
          <w:r>
            <w:rPr>
              <w:b/>
            </w:rPr>
            <w:fldChar w:fldCharType="separate"/>
          </w:r>
          <w:r>
            <w:rPr>
              <w:b/>
            </w:rPr>
            <w:t>24</w:t>
          </w:r>
          <w:r>
            <w:rPr>
              <w:b/>
            </w:rPr>
            <w:fldChar w:fldCharType="end"/>
          </w:r>
          <w:r>
            <w:rPr>
              <w:b/>
            </w:rPr>
            <w:fldChar w:fldCharType="end"/>
          </w:r>
        </w:p>
        <w:p>
          <w:pPr>
            <w:pStyle w:val="39"/>
            <w:tabs>
              <w:tab w:val="right" w:leader="dot" w:pos="8306"/>
            </w:tabs>
          </w:pPr>
          <w:r>
            <w:fldChar w:fldCharType="begin"/>
          </w:r>
          <w:r>
            <w:instrText xml:space="preserve"> HYPERLINK \l _Toc21926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_Toc21926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_Toc18417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_Toc18417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_Toc31797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_Toc31797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_Toc10606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_Toc10606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_Toc16743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_Toc16743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_Toc24957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_Toc24957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_Toc13416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_Toc13416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_Toc8336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_Toc8336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_Toc29198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_Toc29198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_Toc11687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_Toc11687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_Toc21709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有资本经营预算财政拨款收入支出决算表</w:t>
          </w:r>
          <w:r>
            <w:tab/>
          </w:r>
          <w:r>
            <w:fldChar w:fldCharType="begin"/>
          </w:r>
          <w:r>
            <w:instrText xml:space="preserve"> PAGEREF _Toc21709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_Toc21239 </w:instrText>
          </w:r>
          <w:r>
            <w:fldChar w:fldCharType="separate"/>
          </w:r>
          <w:r>
            <w:rPr>
              <w:rFonts w:hint="eastAsia" w:ascii="仿宋" w:hAnsi="仿宋" w:eastAsia="仿宋"/>
              <w:bCs w:val="0"/>
              <w:highlight w:val="none"/>
            </w:rPr>
            <w:t>十二、国有资本经营预算财政拨款支出决算表</w:t>
          </w:r>
          <w:r>
            <w:tab/>
          </w:r>
          <w:r>
            <w:fldChar w:fldCharType="begin"/>
          </w:r>
          <w:r>
            <w:instrText xml:space="preserve"> PAGEREF _Toc21239 \h </w:instrText>
          </w:r>
          <w:r>
            <w:fldChar w:fldCharType="separate"/>
          </w:r>
          <w:r>
            <w:t>24</w:t>
          </w:r>
          <w:r>
            <w:fldChar w:fldCharType="end"/>
          </w:r>
          <w:r>
            <w:fldChar w:fldCharType="end"/>
          </w:r>
        </w:p>
        <w:p>
          <w:pPr>
            <w:pStyle w:val="39"/>
            <w:tabs>
              <w:tab w:val="right" w:leader="dot" w:pos="8306"/>
            </w:tabs>
          </w:pPr>
          <w:r>
            <w:fldChar w:fldCharType="begin"/>
          </w:r>
          <w:r>
            <w:instrText xml:space="preserve"> HYPERLINK \l _Toc14681 </w:instrText>
          </w:r>
          <w:r>
            <w:fldChar w:fldCharType="separate"/>
          </w:r>
          <w:r>
            <w:rPr>
              <w:rFonts w:hint="eastAsia" w:ascii="仿宋" w:hAnsi="仿宋" w:eastAsia="仿宋"/>
              <w:bCs w:val="0"/>
              <w:highlight w:val="none"/>
            </w:rPr>
            <w:t>十三、财政拨款“三公”经费支出决算表</w:t>
          </w:r>
          <w:r>
            <w:tab/>
          </w:r>
          <w:r>
            <w:fldChar w:fldCharType="begin"/>
          </w:r>
          <w:r>
            <w:instrText xml:space="preserve"> PAGEREF _Toc14681 \h </w:instrText>
          </w:r>
          <w:r>
            <w:fldChar w:fldCharType="separate"/>
          </w:r>
          <w:r>
            <w:t>24</w:t>
          </w:r>
          <w:r>
            <w:fldChar w:fldCharType="end"/>
          </w:r>
          <w:r>
            <w:fldChar w:fldCharType="end"/>
          </w:r>
        </w:p>
        <w:p>
          <w:r>
            <w:rPr>
              <w:b/>
            </w:rPr>
            <w:fldChar w:fldCharType="end"/>
          </w:r>
        </w:p>
      </w:sdtContent>
    </w:sdt>
    <w:p>
      <w:pPr>
        <w:pStyle w:val="3"/>
        <w:jc w:val="center"/>
        <w:outlineLvl w:val="0"/>
        <w:rPr>
          <w:rFonts w:hint="eastAsia" w:ascii="黑体" w:hAnsi="黑体" w:eastAsia="黑体"/>
          <w:b w:val="0"/>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20" w:name="_Toc11186"/>
    </w:p>
    <w:p>
      <w:pPr>
        <w:pStyle w:val="3"/>
        <w:jc w:val="center"/>
        <w:outlineLvl w:val="0"/>
        <w:rPr>
          <w:rFonts w:ascii="黑体" w:hAnsi="黑体" w:eastAsia="黑体"/>
          <w:bCs w:val="0"/>
          <w:highlight w:val="none"/>
        </w:rPr>
      </w:pPr>
      <w:r>
        <w:rPr>
          <w:rFonts w:hint="eastAsia" w:ascii="黑体" w:hAnsi="黑体" w:eastAsia="黑体"/>
          <w:b w:val="0"/>
          <w:highlight w:val="none"/>
        </w:rPr>
        <w:t>第一部分 单位</w:t>
      </w:r>
      <w:r>
        <w:rPr>
          <w:rStyle w:val="19"/>
          <w:rFonts w:hint="eastAsia" w:ascii="黑体" w:hAnsi="黑体" w:eastAsia="黑体"/>
          <w:b w:val="0"/>
          <w:bCs w:val="0"/>
          <w:highlight w:val="none"/>
        </w:rPr>
        <w:t>概况</w:t>
      </w:r>
      <w:bookmarkEnd w:id="20"/>
    </w:p>
    <w:p>
      <w:pPr>
        <w:pStyle w:val="4"/>
        <w:ind w:firstLine="640" w:firstLineChars="200"/>
        <w:rPr>
          <w:rStyle w:val="20"/>
          <w:rFonts w:hint="eastAsia" w:ascii="黑体" w:hAnsi="黑体" w:eastAsia="黑体"/>
          <w:b w:val="0"/>
          <w:bCs w:val="0"/>
          <w:highlight w:val="none"/>
        </w:rPr>
      </w:pPr>
      <w:bookmarkStart w:id="21" w:name="_Toc19201"/>
      <w:bookmarkStart w:id="22" w:name="_Toc6455"/>
      <w:bookmarkStart w:id="23" w:name="_Toc19964"/>
      <w:bookmarkStart w:id="24" w:name="_Toc15377197"/>
      <w:bookmarkStart w:id="25" w:name="_Toc15396600"/>
      <w:r>
        <w:rPr>
          <w:rStyle w:val="20"/>
          <w:rFonts w:hint="eastAsia" w:ascii="黑体" w:hAnsi="黑体" w:eastAsia="黑体"/>
          <w:b w:val="0"/>
          <w:bCs w:val="0"/>
          <w:highlight w:val="none"/>
          <w:lang w:eastAsia="zh-CN"/>
        </w:rPr>
        <w:t>一</w:t>
      </w:r>
      <w:r>
        <w:rPr>
          <w:rStyle w:val="20"/>
          <w:rFonts w:hint="eastAsia" w:ascii="黑体" w:hAnsi="黑体" w:eastAsia="黑体"/>
          <w:b w:val="0"/>
          <w:bCs w:val="0"/>
          <w:highlight w:val="none"/>
          <w:lang w:val="en-US" w:eastAsia="zh-CN"/>
        </w:rPr>
        <w:t>.</w:t>
      </w:r>
      <w:r>
        <w:rPr>
          <w:rStyle w:val="20"/>
          <w:rFonts w:hint="eastAsia" w:ascii="黑体" w:hAnsi="黑体" w:eastAsia="黑体"/>
          <w:b w:val="0"/>
          <w:bCs w:val="0"/>
          <w:highlight w:val="none"/>
        </w:rPr>
        <w:t>主要职责</w:t>
      </w:r>
      <w:bookmarkEnd w:id="21"/>
      <w:bookmarkEnd w:id="22"/>
      <w:bookmarkEnd w:id="23"/>
      <w:bookmarkStart w:id="26" w:name="_Toc9323"/>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27" w:name="_Toc932"/>
      <w:bookmarkStart w:id="28" w:name="_Toc3131"/>
      <w:bookmarkStart w:id="29" w:name="_Toc3452"/>
      <w:bookmarkStart w:id="30" w:name="_Toc7291"/>
      <w:r>
        <w:rPr>
          <w:rFonts w:hint="eastAsia" w:ascii="仿宋_GB2312" w:hAnsi="仿宋_GB2312" w:eastAsia="仿宋_GB2312" w:cs="仿宋_GB2312"/>
          <w:b w:val="0"/>
          <w:bCs w:val="0"/>
          <w:color w:val="333333"/>
          <w:kern w:val="0"/>
          <w:highlight w:val="none"/>
          <w:shd w:val="clear" w:color="auto" w:fill="FFFFFF"/>
        </w:rPr>
        <w:t>1.</w:t>
      </w:r>
      <w:r>
        <w:rPr>
          <w:rFonts w:hint="eastAsia" w:ascii="仿宋_GB2312" w:hAnsi="仿宋_GB2312" w:eastAsia="仿宋_GB2312" w:cs="仿宋_GB2312"/>
          <w:b w:val="0"/>
          <w:bCs w:val="0"/>
          <w:color w:val="000000"/>
          <w:kern w:val="0"/>
          <w:highlight w:val="none"/>
        </w:rPr>
        <w:t>宣传贯彻农民工服务保障工作法律法规和政策；</w:t>
      </w:r>
      <w:bookmarkEnd w:id="26"/>
      <w:bookmarkEnd w:id="27"/>
      <w:bookmarkEnd w:id="28"/>
      <w:bookmarkEnd w:id="29"/>
      <w:bookmarkEnd w:id="30"/>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31" w:name="_Toc19971"/>
      <w:bookmarkStart w:id="32" w:name="_Toc13221"/>
      <w:bookmarkStart w:id="33" w:name="_Toc21569"/>
      <w:bookmarkStart w:id="34" w:name="_Toc11481"/>
      <w:bookmarkStart w:id="35" w:name="_Toc16765"/>
      <w:r>
        <w:rPr>
          <w:rFonts w:hint="eastAsia" w:ascii="仿宋_GB2312" w:hAnsi="仿宋_GB2312" w:eastAsia="仿宋_GB2312" w:cs="仿宋_GB2312"/>
          <w:b w:val="0"/>
          <w:bCs w:val="0"/>
          <w:color w:val="000000"/>
          <w:kern w:val="0"/>
          <w:highlight w:val="none"/>
        </w:rPr>
        <w:t>2.组织实施全市农民工服务体系标准化建设工作；</w:t>
      </w:r>
      <w:bookmarkEnd w:id="31"/>
      <w:bookmarkEnd w:id="32"/>
      <w:bookmarkEnd w:id="33"/>
      <w:bookmarkEnd w:id="34"/>
      <w:bookmarkEnd w:id="35"/>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36" w:name="_Toc7781"/>
      <w:bookmarkStart w:id="37" w:name="_Toc9872"/>
      <w:bookmarkStart w:id="38" w:name="_Toc25205"/>
      <w:bookmarkStart w:id="39" w:name="_Toc18257"/>
      <w:bookmarkStart w:id="40" w:name="_Toc3871"/>
      <w:r>
        <w:rPr>
          <w:rFonts w:hint="eastAsia" w:ascii="仿宋_GB2312" w:hAnsi="仿宋_GB2312" w:eastAsia="仿宋_GB2312" w:cs="仿宋_GB2312"/>
          <w:b w:val="0"/>
          <w:bCs w:val="0"/>
          <w:color w:val="000000"/>
          <w:kern w:val="0"/>
          <w:highlight w:val="none"/>
        </w:rPr>
        <w:t>3.建设和管理驻外农民工工作站，承担农民工信息化建设工作；</w:t>
      </w:r>
      <w:bookmarkEnd w:id="36"/>
      <w:bookmarkEnd w:id="37"/>
      <w:bookmarkEnd w:id="38"/>
      <w:bookmarkEnd w:id="39"/>
      <w:bookmarkEnd w:id="40"/>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41" w:name="_Toc27538"/>
      <w:bookmarkStart w:id="42" w:name="_Toc13202"/>
      <w:bookmarkStart w:id="43" w:name="_Toc9455"/>
      <w:bookmarkStart w:id="44" w:name="_Toc18254"/>
      <w:bookmarkStart w:id="45" w:name="_Toc9233"/>
      <w:r>
        <w:rPr>
          <w:rFonts w:hint="eastAsia" w:ascii="仿宋_GB2312" w:hAnsi="仿宋_GB2312" w:eastAsia="仿宋_GB2312" w:cs="仿宋_GB2312"/>
          <w:b w:val="0"/>
          <w:bCs w:val="0"/>
          <w:color w:val="000000"/>
          <w:kern w:val="0"/>
          <w:highlight w:val="none"/>
        </w:rPr>
        <w:t>4.组织开展农民工回引创业、职业培训等工作，组织农民工参加创新创业大赛活动；</w:t>
      </w:r>
      <w:bookmarkEnd w:id="41"/>
      <w:bookmarkEnd w:id="42"/>
      <w:bookmarkEnd w:id="43"/>
      <w:bookmarkEnd w:id="44"/>
      <w:bookmarkEnd w:id="45"/>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46" w:name="_Toc385"/>
      <w:bookmarkStart w:id="47" w:name="_Toc20077"/>
      <w:bookmarkStart w:id="48" w:name="_Toc16716"/>
      <w:bookmarkStart w:id="49" w:name="_Toc25621"/>
      <w:bookmarkStart w:id="50" w:name="_Toc26249"/>
      <w:r>
        <w:rPr>
          <w:rFonts w:hint="eastAsia" w:ascii="仿宋_GB2312" w:hAnsi="仿宋_GB2312" w:eastAsia="仿宋_GB2312" w:cs="仿宋_GB2312"/>
          <w:b w:val="0"/>
          <w:bCs w:val="0"/>
          <w:color w:val="000000"/>
          <w:kern w:val="0"/>
          <w:highlight w:val="none"/>
        </w:rPr>
        <w:t>5.会同有关部门开展农民工维权救助、法律援助、治理欠薪等工作；</w:t>
      </w:r>
      <w:bookmarkEnd w:id="46"/>
      <w:bookmarkEnd w:id="47"/>
      <w:bookmarkEnd w:id="48"/>
      <w:bookmarkEnd w:id="49"/>
      <w:bookmarkEnd w:id="50"/>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51" w:name="_Toc25961"/>
      <w:bookmarkStart w:id="52" w:name="_Toc22199"/>
      <w:bookmarkStart w:id="53" w:name="_Toc1551"/>
      <w:bookmarkStart w:id="54" w:name="_Toc28181"/>
      <w:bookmarkStart w:id="55" w:name="_Toc3470"/>
      <w:r>
        <w:rPr>
          <w:rFonts w:hint="eastAsia" w:ascii="仿宋_GB2312" w:hAnsi="仿宋_GB2312" w:eastAsia="仿宋_GB2312" w:cs="仿宋_GB2312"/>
          <w:b w:val="0"/>
          <w:bCs w:val="0"/>
          <w:color w:val="000000"/>
          <w:kern w:val="0"/>
          <w:highlight w:val="none"/>
        </w:rPr>
        <w:t>6.组织实施农民工走访慰问、关心关爱等活动，会同有关部门开展农民工文化艺术、体育竞技等活动；</w:t>
      </w:r>
      <w:bookmarkEnd w:id="51"/>
      <w:bookmarkEnd w:id="52"/>
      <w:bookmarkEnd w:id="53"/>
      <w:bookmarkEnd w:id="54"/>
      <w:bookmarkEnd w:id="55"/>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20"/>
          <w:rFonts w:ascii="黑体" w:hAnsi="黑体" w:eastAsia="黑体"/>
          <w:b w:val="0"/>
          <w:bCs w:val="0"/>
          <w:highlight w:val="none"/>
        </w:rPr>
      </w:pPr>
      <w:bookmarkStart w:id="56" w:name="_Toc23780"/>
      <w:bookmarkStart w:id="57" w:name="_Toc1632"/>
      <w:bookmarkStart w:id="58" w:name="_Toc22211"/>
      <w:bookmarkStart w:id="59" w:name="_Toc28901"/>
      <w:bookmarkStart w:id="60" w:name="_Toc30556"/>
      <w:r>
        <w:rPr>
          <w:rFonts w:hint="eastAsia" w:ascii="仿宋_GB2312" w:hAnsi="仿宋_GB2312" w:eastAsia="仿宋_GB2312" w:cs="仿宋_GB2312"/>
          <w:b w:val="0"/>
          <w:bCs w:val="0"/>
          <w:color w:val="000000"/>
          <w:kern w:val="0"/>
          <w:highlight w:val="none"/>
        </w:rPr>
        <w:t>7.完成市人力资源社会保障局交办的其他任务。</w:t>
      </w:r>
      <w:bookmarkEnd w:id="56"/>
      <w:bookmarkEnd w:id="57"/>
      <w:bookmarkEnd w:id="58"/>
      <w:bookmarkEnd w:id="59"/>
      <w:bookmarkEnd w:id="60"/>
    </w:p>
    <w:p>
      <w:pPr>
        <w:pStyle w:val="4"/>
        <w:keepNext/>
        <w:keepLines/>
        <w:pageBreakBefore w:val="0"/>
        <w:widowControl w:val="0"/>
        <w:numPr>
          <w:ilvl w:val="0"/>
          <w:numId w:val="1"/>
        </w:numPr>
        <w:kinsoku/>
        <w:wordWrap/>
        <w:overflowPunct/>
        <w:topLinePunct w:val="0"/>
        <w:autoSpaceDE/>
        <w:autoSpaceDN/>
        <w:bidi w:val="0"/>
        <w:adjustRightInd/>
        <w:snapToGrid/>
        <w:spacing w:line="416" w:lineRule="auto"/>
        <w:ind w:firstLine="0" w:firstLineChars="0"/>
        <w:jc w:val="left"/>
        <w:textAlignment w:val="auto"/>
        <w:rPr>
          <w:rStyle w:val="20"/>
          <w:rFonts w:hint="eastAsia" w:ascii="黑体" w:hAnsi="黑体" w:eastAsia="黑体"/>
          <w:b w:val="0"/>
          <w:bCs w:val="0"/>
          <w:highlight w:val="none"/>
          <w:lang w:eastAsia="zh-CN"/>
        </w:rPr>
      </w:pPr>
      <w:bookmarkStart w:id="61" w:name="_Toc3392"/>
      <w:bookmarkStart w:id="62" w:name="_Toc31082"/>
      <w:bookmarkStart w:id="63" w:name="_Toc7484"/>
      <w:r>
        <w:rPr>
          <w:rStyle w:val="20"/>
          <w:rFonts w:hint="eastAsia" w:ascii="黑体" w:hAnsi="黑体" w:eastAsia="黑体"/>
          <w:b w:val="0"/>
          <w:bCs w:val="0"/>
          <w:highlight w:val="none"/>
          <w:lang w:eastAsia="zh-CN"/>
        </w:rPr>
        <w:t>机构设置</w:t>
      </w:r>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 w:val="0"/>
          <w:bCs/>
          <w:sz w:val="32"/>
          <w:szCs w:val="32"/>
          <w:highlight w:val="none"/>
          <w:lang w:eastAsia="zh-CN"/>
        </w:rPr>
      </w:pPr>
      <w:r>
        <w:rPr>
          <w:rFonts w:hint="eastAsia" w:ascii="仿宋_GB2312" w:hAnsi="Times New Roman" w:eastAsia="仿宋_GB2312" w:cs="Times New Roman"/>
          <w:b w:val="0"/>
          <w:bCs/>
          <w:sz w:val="32"/>
          <w:szCs w:val="32"/>
          <w:highlight w:val="none"/>
          <w:lang w:eastAsia="zh-CN"/>
        </w:rPr>
        <w:t>农民工服务中心</w:t>
      </w:r>
      <w:r>
        <w:rPr>
          <w:rFonts w:hint="default" w:ascii="仿宋_GB2312" w:eastAsia="仿宋_GB2312" w:cs="Times New Roman"/>
          <w:b w:val="0"/>
          <w:bCs/>
          <w:sz w:val="32"/>
          <w:szCs w:val="32"/>
          <w:highlight w:val="none"/>
          <w:lang w:eastAsia="zh-CN"/>
        </w:rPr>
        <w:t>属于广元市人力资源和社会保障局二级预算单位，</w:t>
      </w:r>
      <w:r>
        <w:rPr>
          <w:rFonts w:hint="eastAsia" w:ascii="仿宋_GB2312" w:hAnsi="Times New Roman" w:eastAsia="仿宋_GB2312" w:cs="Times New Roman"/>
          <w:b w:val="0"/>
          <w:bCs/>
          <w:sz w:val="32"/>
          <w:szCs w:val="32"/>
          <w:highlight w:val="none"/>
          <w:lang w:eastAsia="zh-CN"/>
        </w:rPr>
        <w:t>内设三个科室：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eastAsia="仿宋_GB2312"/>
          <w:b w:val="0"/>
          <w:bCs/>
          <w:sz w:val="32"/>
          <w:szCs w:val="32"/>
          <w:highlight w:val="none"/>
        </w:rPr>
        <w:t>（一）综合科。</w:t>
      </w:r>
      <w:r>
        <w:rPr>
          <w:rFonts w:hint="eastAsia" w:ascii="仿宋_GB2312" w:hAnsi="仿宋_GB2312" w:eastAsia="仿宋_GB2312" w:cs="仿宋_GB2312"/>
          <w:b w:val="0"/>
          <w:bCs/>
          <w:sz w:val="32"/>
          <w:szCs w:val="32"/>
          <w:highlight w:val="none"/>
        </w:rPr>
        <w:t>负责党建、文电、会务、外宣、调研、人事、工会、档案、安全、固定资产管理、财务及后勤等工作；</w:t>
      </w:r>
      <w:r>
        <w:rPr>
          <w:rFonts w:hint="eastAsia" w:ascii="仿宋_GB2312" w:eastAsia="仿宋_GB2312"/>
          <w:b w:val="0"/>
          <w:bCs/>
          <w:sz w:val="32"/>
          <w:szCs w:val="32"/>
          <w:highlight w:val="none"/>
        </w:rPr>
        <w:t>负责管理驻外农民工工作站，</w:t>
      </w:r>
      <w:r>
        <w:rPr>
          <w:rFonts w:hint="eastAsia" w:ascii="仿宋_GB2312" w:hAnsi="仿宋_GB2312" w:eastAsia="仿宋_GB2312" w:cs="仿宋_GB2312"/>
          <w:b w:val="0"/>
          <w:bCs/>
          <w:sz w:val="32"/>
          <w:szCs w:val="32"/>
          <w:highlight w:val="none"/>
        </w:rPr>
        <w:t>指导全市农民工服务体系标准化建设；</w:t>
      </w:r>
      <w:r>
        <w:rPr>
          <w:rFonts w:ascii="仿宋_GB2312" w:eastAsia="仿宋_GB2312"/>
          <w:b w:val="0"/>
          <w:bCs/>
          <w:sz w:val="32"/>
          <w:szCs w:val="32"/>
          <w:highlight w:val="none"/>
        </w:rPr>
        <w:t>负责农民工服务平台管理和维护</w:t>
      </w:r>
      <w:r>
        <w:rPr>
          <w:rFonts w:hint="eastAsia" w:ascii="仿宋_GB2312" w:eastAsia="仿宋_GB2312"/>
          <w:b w:val="0"/>
          <w:bCs/>
          <w:sz w:val="32"/>
          <w:szCs w:val="32"/>
          <w:highlight w:val="none"/>
        </w:rPr>
        <w:t>，</w:t>
      </w:r>
      <w:r>
        <w:rPr>
          <w:rFonts w:ascii="仿宋_GB2312" w:eastAsia="仿宋_GB2312"/>
          <w:b w:val="0"/>
          <w:bCs/>
          <w:sz w:val="32"/>
          <w:szCs w:val="32"/>
          <w:highlight w:val="none"/>
        </w:rPr>
        <w:t>做好农民工数据统计工作</w:t>
      </w:r>
      <w:r>
        <w:rPr>
          <w:rFonts w:hint="eastAsia" w:ascii="仿宋_GB2312" w:eastAsia="仿宋_GB2312"/>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（二）就业创业科。</w:t>
      </w:r>
      <w:r>
        <w:rPr>
          <w:rFonts w:hint="eastAsia" w:ascii="仿宋_GB2312" w:hAnsi="仿宋_GB2312" w:eastAsia="仿宋_GB2312" w:cs="仿宋_GB2312"/>
          <w:b w:val="0"/>
          <w:bCs/>
          <w:sz w:val="32"/>
          <w:szCs w:val="32"/>
          <w:highlight w:val="none"/>
        </w:rPr>
        <w:t>组织实施农民工劳务输出、技能培训和返乡就业创业工作；组织开展回引培养、政策咨询、项目推荐、创业孵化等服务工作；参与返乡下乡创业示范县区、乡镇和示范园（孵化园）的评选工作；</w:t>
      </w:r>
      <w:r>
        <w:rPr>
          <w:rFonts w:hint="eastAsia" w:ascii="仿宋_GB2312" w:eastAsia="仿宋_GB2312"/>
          <w:b w:val="0"/>
          <w:bCs/>
          <w:sz w:val="32"/>
          <w:szCs w:val="32"/>
          <w:highlight w:val="none"/>
        </w:rPr>
        <w:t>指导管理市返乡创业协会，</w:t>
      </w:r>
      <w:r>
        <w:rPr>
          <w:rFonts w:hint="eastAsia" w:ascii="仿宋_GB2312" w:hAnsi="仿宋_GB2312" w:eastAsia="仿宋_GB2312" w:cs="仿宋_GB2312"/>
          <w:b w:val="0"/>
          <w:bCs/>
          <w:sz w:val="32"/>
          <w:szCs w:val="32"/>
          <w:highlight w:val="none"/>
        </w:rPr>
        <w:t>组织农民工参加创新创业、职业技能大赛等活动。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（三）服务保障科</w:t>
      </w:r>
      <w:r>
        <w:rPr>
          <w:rFonts w:ascii="仿宋_GB2312" w:eastAsia="仿宋_GB2312"/>
          <w:b w:val="0"/>
          <w:bCs/>
          <w:sz w:val="32"/>
          <w:szCs w:val="32"/>
          <w:highlight w:val="none"/>
        </w:rPr>
        <w:t>。</w:t>
      </w:r>
      <w:r>
        <w:rPr>
          <w:rFonts w:hint="eastAsia" w:ascii="仿宋_GB2312" w:eastAsia="仿宋_GB2312"/>
          <w:b w:val="0"/>
          <w:bCs/>
          <w:sz w:val="32"/>
          <w:szCs w:val="32"/>
          <w:highlight w:val="none"/>
        </w:rPr>
        <w:t>组织开展农民工及其家庭走访慰问、留守儿童亲情团聚、专列专车等专项服务活动；组织农民工参加文艺创作、体育赛事等活动；</w:t>
      </w:r>
      <w:r>
        <w:rPr>
          <w:rFonts w:ascii="仿宋_GB2312" w:eastAsia="仿宋_GB2312"/>
          <w:b w:val="0"/>
          <w:bCs/>
          <w:sz w:val="32"/>
          <w:szCs w:val="32"/>
          <w:highlight w:val="none"/>
        </w:rPr>
        <w:t>协同开展拖欠农民工工资问题专项治理活动，协调处理拖欠农民工工资案件</w:t>
      </w:r>
      <w:r>
        <w:rPr>
          <w:rFonts w:hint="eastAsia" w:ascii="仿宋_GB2312" w:eastAsia="仿宋_GB2312"/>
          <w:b w:val="0"/>
          <w:bCs/>
          <w:sz w:val="32"/>
          <w:szCs w:val="32"/>
          <w:highlight w:val="none"/>
        </w:rPr>
        <w:t>；</w:t>
      </w:r>
      <w:r>
        <w:rPr>
          <w:rFonts w:ascii="仿宋_GB2312" w:eastAsia="仿宋_GB2312"/>
          <w:b w:val="0"/>
          <w:bCs/>
          <w:sz w:val="32"/>
          <w:szCs w:val="32"/>
          <w:highlight w:val="none"/>
        </w:rPr>
        <w:t>联动开展法律援助，协调</w:t>
      </w:r>
      <w:r>
        <w:rPr>
          <w:rFonts w:hint="eastAsia" w:ascii="仿宋_GB2312" w:eastAsia="仿宋_GB2312"/>
          <w:b w:val="0"/>
          <w:bCs/>
          <w:sz w:val="32"/>
          <w:szCs w:val="32"/>
          <w:highlight w:val="none"/>
        </w:rPr>
        <w:t>处理</w:t>
      </w:r>
      <w:r>
        <w:rPr>
          <w:rFonts w:ascii="仿宋_GB2312" w:eastAsia="仿宋_GB2312"/>
          <w:b w:val="0"/>
          <w:bCs/>
          <w:sz w:val="32"/>
          <w:szCs w:val="32"/>
          <w:highlight w:val="none"/>
        </w:rPr>
        <w:t>农民工伤残伤亡案件和重大劳动纠纷案件</w:t>
      </w:r>
      <w:r>
        <w:rPr>
          <w:rFonts w:hint="eastAsia" w:ascii="仿宋_GB2312" w:eastAsia="仿宋_GB2312"/>
          <w:b w:val="0"/>
          <w:bCs/>
          <w:sz w:val="32"/>
          <w:szCs w:val="32"/>
          <w:highlight w:val="none"/>
        </w:rPr>
        <w:t>。</w:t>
      </w:r>
    </w:p>
    <w:p>
      <w:pPr>
        <w:pStyle w:val="4"/>
        <w:outlineLvl w:val="9"/>
        <w:rPr>
          <w:rFonts w:ascii="黑体" w:hAnsi="黑体" w:eastAsia="黑体"/>
          <w:b w:val="0"/>
          <w:highlight w:val="none"/>
        </w:rPr>
      </w:pPr>
    </w:p>
    <w:bookmarkEnd w:id="24"/>
    <w:bookmarkEnd w:id="25"/>
    <w:p>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pPr>
        <w:pStyle w:val="3"/>
        <w:ind w:right="440"/>
        <w:jc w:val="center"/>
        <w:rPr>
          <w:rStyle w:val="19"/>
          <w:rFonts w:ascii="黑体" w:hAnsi="黑体" w:eastAsia="黑体"/>
          <w:b w:val="0"/>
          <w:bCs/>
          <w:highlight w:val="none"/>
        </w:rPr>
      </w:pPr>
      <w:bookmarkStart w:id="64" w:name="_Toc25840"/>
      <w:bookmarkStart w:id="65" w:name="_Toc15377204"/>
      <w:bookmarkStart w:id="66" w:name="_Toc18706"/>
      <w:bookmarkStart w:id="67" w:name="_Toc4141"/>
      <w:bookmarkStart w:id="68" w:name="_Toc15396602"/>
      <w:r>
        <w:rPr>
          <w:rFonts w:hint="eastAsia" w:ascii="黑体" w:hAnsi="黑体" w:eastAsia="黑体"/>
          <w:b w:val="0"/>
          <w:highlight w:val="none"/>
        </w:rPr>
        <w:t>第二部分 2022年度</w:t>
      </w:r>
      <w:r>
        <w:rPr>
          <w:rStyle w:val="19"/>
          <w:rFonts w:hint="eastAsia" w:ascii="黑体" w:hAnsi="黑体" w:eastAsia="黑体"/>
          <w:b w:val="0"/>
          <w:bCs/>
          <w:highlight w:val="none"/>
        </w:rPr>
        <w:t>单位决算情况说明</w:t>
      </w:r>
      <w:bookmarkEnd w:id="64"/>
      <w:bookmarkEnd w:id="65"/>
      <w:bookmarkEnd w:id="66"/>
      <w:bookmarkEnd w:id="67"/>
      <w:bookmarkEnd w:id="68"/>
    </w:p>
    <w:p>
      <w:pPr>
        <w:rPr>
          <w:highlight w:val="none"/>
        </w:rPr>
      </w:pPr>
    </w:p>
    <w:p>
      <w:pPr>
        <w:pStyle w:val="29"/>
        <w:numPr>
          <w:ilvl w:val="0"/>
          <w:numId w:val="2"/>
        </w:numPr>
        <w:spacing w:line="600" w:lineRule="exact"/>
        <w:ind w:firstLineChars="0"/>
        <w:outlineLvl w:val="1"/>
        <w:rPr>
          <w:rStyle w:val="20"/>
          <w:rFonts w:ascii="黑体" w:hAnsi="黑体" w:eastAsia="黑体"/>
          <w:b w:val="0"/>
          <w:highlight w:val="none"/>
        </w:rPr>
      </w:pPr>
      <w:bookmarkStart w:id="69" w:name="_Toc15396603"/>
      <w:bookmarkStart w:id="70" w:name="_Toc23149"/>
      <w:bookmarkStart w:id="71" w:name="_Toc19867"/>
      <w:bookmarkStart w:id="72" w:name="_Toc15377205"/>
      <w:bookmarkStart w:id="73" w:name="_Toc22318"/>
      <w:r>
        <w:rPr>
          <w:rFonts w:hint="eastAsia" w:ascii="黑体" w:hAnsi="黑体" w:eastAsia="黑体"/>
          <w:sz w:val="32"/>
          <w:szCs w:val="32"/>
          <w:highlight w:val="none"/>
        </w:rPr>
        <w:t>收</w:t>
      </w:r>
      <w:r>
        <w:rPr>
          <w:rStyle w:val="20"/>
          <w:rFonts w:hint="eastAsia" w:ascii="黑体" w:hAnsi="黑体" w:eastAsia="黑体"/>
          <w:b w:val="0"/>
          <w:highlight w:val="none"/>
        </w:rPr>
        <w:t>入支出决算总体情况说明</w:t>
      </w:r>
      <w:bookmarkEnd w:id="69"/>
      <w:bookmarkEnd w:id="70"/>
      <w:bookmarkEnd w:id="71"/>
      <w:bookmarkEnd w:id="72"/>
      <w:bookmarkEnd w:id="73"/>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2022年度收、支总计340.16万元。与2021年相比，收、支总计各增加101.77万元，增长42.</w:t>
      </w:r>
      <w:r>
        <w:rPr>
          <w:rFonts w:hint="eastAsia" w:ascii="仿宋" w:hAnsi="仿宋" w:eastAsia="仿宋"/>
          <w:sz w:val="32"/>
          <w:szCs w:val="32"/>
          <w:highlight w:val="none"/>
          <w:lang w:val="en-US" w:eastAsia="zh-CN"/>
        </w:rPr>
        <w:t>69</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default" w:ascii="仿宋" w:hAnsi="仿宋" w:eastAsia="仿宋"/>
          <w:sz w:val="32"/>
          <w:szCs w:val="32"/>
          <w:highlight w:val="none"/>
        </w:rPr>
        <w:t>人员经费</w:t>
      </w:r>
      <w:r>
        <w:rPr>
          <w:rFonts w:hint="eastAsia" w:ascii="仿宋" w:hAnsi="仿宋" w:eastAsia="仿宋"/>
          <w:sz w:val="32"/>
          <w:szCs w:val="32"/>
          <w:highlight w:val="none"/>
        </w:rPr>
        <w:t>及项目经费增加。</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drawing>
          <wp:inline distT="0" distB="0" distL="0" distR="0">
            <wp:extent cx="4183380" cy="1863725"/>
            <wp:effectExtent l="4445" t="5080" r="22225"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center"/>
        <w:textAlignment w:val="auto"/>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pPr>
        <w:pStyle w:val="29"/>
        <w:numPr>
          <w:ilvl w:val="0"/>
          <w:numId w:val="2"/>
        </w:numPr>
        <w:spacing w:line="600" w:lineRule="exact"/>
        <w:ind w:firstLineChars="0"/>
        <w:outlineLvl w:val="1"/>
        <w:rPr>
          <w:rStyle w:val="20"/>
          <w:rFonts w:ascii="黑体" w:hAnsi="黑体" w:eastAsia="黑体"/>
          <w:b w:val="0"/>
          <w:highlight w:val="none"/>
        </w:rPr>
      </w:pPr>
      <w:bookmarkStart w:id="74" w:name="_Toc15396604"/>
      <w:bookmarkStart w:id="75" w:name="_Toc24790"/>
      <w:bookmarkStart w:id="76" w:name="_Toc30078"/>
      <w:bookmarkStart w:id="77" w:name="_Toc19313"/>
      <w:bookmarkStart w:id="78" w:name="_Toc15377206"/>
      <w:r>
        <w:rPr>
          <w:rFonts w:hint="eastAsia" w:ascii="黑体" w:hAnsi="黑体" w:eastAsia="黑体"/>
          <w:sz w:val="32"/>
          <w:szCs w:val="32"/>
          <w:highlight w:val="none"/>
        </w:rPr>
        <w:t>收</w:t>
      </w:r>
      <w:r>
        <w:rPr>
          <w:rStyle w:val="20"/>
          <w:rFonts w:hint="eastAsia" w:ascii="黑体" w:hAnsi="黑体" w:eastAsia="黑体"/>
          <w:b w:val="0"/>
          <w:highlight w:val="none"/>
        </w:rPr>
        <w:t>入决算情况说明</w:t>
      </w:r>
      <w:bookmarkEnd w:id="74"/>
      <w:bookmarkEnd w:id="75"/>
      <w:bookmarkEnd w:id="76"/>
      <w:bookmarkEnd w:id="77"/>
      <w:bookmarkEnd w:id="78"/>
    </w:p>
    <w:p>
      <w:pPr>
        <w:spacing w:line="600" w:lineRule="exact"/>
        <w:ind w:firstLine="640" w:firstLineChars="200"/>
        <w:outlineLvl w:val="1"/>
        <w:rPr>
          <w:rFonts w:ascii="仿宋" w:hAnsi="仿宋" w:eastAsia="仿宋"/>
          <w:b/>
          <w:sz w:val="32"/>
          <w:szCs w:val="32"/>
          <w:highlight w:val="none"/>
        </w:rPr>
      </w:pPr>
      <w:bookmarkStart w:id="79" w:name="_Toc1677"/>
      <w:bookmarkStart w:id="80" w:name="_Toc22678"/>
      <w:bookmarkStart w:id="81" w:name="_Toc23628"/>
      <w:bookmarkStart w:id="82" w:name="_Toc10786"/>
      <w:r>
        <w:rPr>
          <w:rFonts w:ascii="仿宋" w:hAnsi="仿宋" w:eastAsia="仿宋"/>
          <w:sz w:val="32"/>
          <w:szCs w:val="32"/>
          <w:highlight w:val="none"/>
        </w:rPr>
        <w:t>20</w:t>
      </w:r>
      <w:r>
        <w:rPr>
          <w:rFonts w:hint="eastAsia" w:ascii="仿宋" w:hAnsi="仿宋" w:eastAsia="仿宋"/>
          <w:sz w:val="32"/>
          <w:szCs w:val="32"/>
          <w:highlight w:val="none"/>
        </w:rPr>
        <w:t>22年本年收入合计285.51万元，其中：一般公共预算财政拨款收入285.51万元，占100</w:t>
      </w:r>
      <w:r>
        <w:rPr>
          <w:rFonts w:ascii="仿宋" w:hAnsi="仿宋" w:eastAsia="仿宋"/>
          <w:sz w:val="32"/>
          <w:szCs w:val="32"/>
          <w:highlight w:val="none"/>
        </w:rPr>
        <w:t>%</w:t>
      </w:r>
      <w:r>
        <w:rPr>
          <w:rFonts w:hint="eastAsia" w:ascii="仿宋" w:hAnsi="仿宋" w:eastAsia="仿宋"/>
          <w:sz w:val="32"/>
          <w:szCs w:val="32"/>
          <w:highlight w:val="none"/>
        </w:rPr>
        <w:t>。</w:t>
      </w:r>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outlineLvl w:val="9"/>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drawing>
          <wp:inline distT="0" distB="0" distL="0" distR="0">
            <wp:extent cx="3876675" cy="1923415"/>
            <wp:effectExtent l="4445" t="4445" r="5080"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center"/>
        <w:textAlignment w:val="auto"/>
        <w:rPr>
          <w:rFonts w:ascii="仿宋" w:hAnsi="仿宋" w:eastAsia="仿宋"/>
          <w:sz w:val="32"/>
          <w:szCs w:val="32"/>
          <w:highlight w:val="none"/>
        </w:rPr>
      </w:pPr>
      <w:r>
        <w:rPr>
          <w:rFonts w:hint="eastAsia" w:ascii="仿宋" w:hAnsi="仿宋" w:eastAsia="仿宋"/>
          <w:sz w:val="32"/>
          <w:szCs w:val="32"/>
          <w:highlight w:val="none"/>
        </w:rPr>
        <w:t>（图2：收入决算结构图）</w:t>
      </w:r>
    </w:p>
    <w:p>
      <w:pPr>
        <w:pStyle w:val="29"/>
        <w:numPr>
          <w:ilvl w:val="0"/>
          <w:numId w:val="2"/>
        </w:numPr>
        <w:spacing w:line="600" w:lineRule="exact"/>
        <w:ind w:firstLineChars="0"/>
        <w:outlineLvl w:val="1"/>
        <w:rPr>
          <w:rStyle w:val="20"/>
          <w:rFonts w:ascii="黑体" w:hAnsi="黑体" w:eastAsia="黑体"/>
          <w:b w:val="0"/>
          <w:highlight w:val="none"/>
        </w:rPr>
      </w:pPr>
      <w:bookmarkStart w:id="83" w:name="_Toc15396605"/>
      <w:bookmarkStart w:id="84" w:name="_Toc32145"/>
      <w:bookmarkStart w:id="85" w:name="_Toc15377207"/>
      <w:bookmarkStart w:id="86" w:name="_Toc17713"/>
      <w:bookmarkStart w:id="87" w:name="_Toc25162"/>
      <w:r>
        <w:rPr>
          <w:rFonts w:hint="eastAsia" w:ascii="黑体" w:hAnsi="黑体" w:eastAsia="黑体"/>
          <w:sz w:val="32"/>
          <w:szCs w:val="32"/>
          <w:highlight w:val="none"/>
        </w:rPr>
        <w:t>支</w:t>
      </w:r>
      <w:r>
        <w:rPr>
          <w:rStyle w:val="20"/>
          <w:rFonts w:hint="eastAsia" w:ascii="黑体" w:hAnsi="黑体" w:eastAsia="黑体"/>
          <w:b w:val="0"/>
          <w:highlight w:val="none"/>
        </w:rPr>
        <w:t>出决算情况说明</w:t>
      </w:r>
      <w:bookmarkEnd w:id="83"/>
      <w:bookmarkEnd w:id="84"/>
      <w:bookmarkEnd w:id="85"/>
      <w:bookmarkEnd w:id="86"/>
      <w:bookmarkEnd w:id="87"/>
    </w:p>
    <w:p>
      <w:pPr>
        <w:spacing w:line="600" w:lineRule="exact"/>
        <w:ind w:firstLine="640" w:firstLineChars="200"/>
        <w:outlineLvl w:val="1"/>
        <w:rPr>
          <w:rFonts w:ascii="仿宋" w:hAnsi="仿宋" w:eastAsia="仿宋"/>
          <w:sz w:val="32"/>
          <w:szCs w:val="32"/>
          <w:highlight w:val="none"/>
        </w:rPr>
      </w:pPr>
      <w:bookmarkStart w:id="88" w:name="_Toc6874"/>
      <w:bookmarkStart w:id="89" w:name="_Toc26398"/>
      <w:bookmarkStart w:id="90" w:name="_Toc20316"/>
      <w:bookmarkStart w:id="91" w:name="_Toc9460"/>
      <w:r>
        <w:rPr>
          <w:rFonts w:ascii="仿宋" w:hAnsi="仿宋" w:eastAsia="仿宋"/>
          <w:sz w:val="32"/>
          <w:szCs w:val="32"/>
          <w:highlight w:val="none"/>
        </w:rPr>
        <w:t>20</w:t>
      </w:r>
      <w:r>
        <w:rPr>
          <w:rFonts w:hint="eastAsia" w:ascii="仿宋" w:hAnsi="仿宋" w:eastAsia="仿宋"/>
          <w:sz w:val="32"/>
          <w:szCs w:val="32"/>
          <w:highlight w:val="none"/>
        </w:rPr>
        <w:t>22年本年支出合计328.26万元，其中：基本支出223.25万元，占68</w:t>
      </w:r>
      <w:r>
        <w:rPr>
          <w:rFonts w:ascii="仿宋" w:hAnsi="仿宋" w:eastAsia="仿宋"/>
          <w:sz w:val="32"/>
          <w:szCs w:val="32"/>
          <w:highlight w:val="none"/>
        </w:rPr>
        <w:t>%</w:t>
      </w:r>
      <w:r>
        <w:rPr>
          <w:rFonts w:hint="eastAsia" w:ascii="仿宋" w:hAnsi="仿宋" w:eastAsia="仿宋"/>
          <w:sz w:val="32"/>
          <w:szCs w:val="32"/>
          <w:highlight w:val="none"/>
        </w:rPr>
        <w:t>；项目支出105.01万元，占32</w:t>
      </w:r>
      <w:r>
        <w:rPr>
          <w:rFonts w:ascii="仿宋" w:hAnsi="仿宋" w:eastAsia="仿宋"/>
          <w:sz w:val="32"/>
          <w:szCs w:val="32"/>
          <w:highlight w:val="none"/>
        </w:rPr>
        <w:t>%</w:t>
      </w:r>
      <w:r>
        <w:rPr>
          <w:rFonts w:hint="eastAsia" w:ascii="仿宋" w:hAnsi="仿宋" w:eastAsia="仿宋"/>
          <w:sz w:val="32"/>
          <w:szCs w:val="32"/>
          <w:highlight w:val="none"/>
        </w:rPr>
        <w:t>。</w:t>
      </w:r>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ascii="仿宋" w:hAnsi="仿宋" w:eastAsia="仿宋"/>
          <w:sz w:val="32"/>
          <w:szCs w:val="32"/>
          <w:highlight w:val="none"/>
          <w:shd w:val="pct10" w:color="auto" w:fill="FFFFFF"/>
        </w:rPr>
      </w:pPr>
      <w:r>
        <w:rPr>
          <w:rFonts w:ascii="仿宋" w:hAnsi="仿宋" w:eastAsia="仿宋"/>
          <w:sz w:val="32"/>
          <w:szCs w:val="32"/>
          <w:highlight w:val="none"/>
          <w:shd w:val="pct10" w:color="auto" w:fill="FFFFFF"/>
        </w:rPr>
        <w:drawing>
          <wp:inline distT="0" distB="0" distL="0" distR="0">
            <wp:extent cx="3785870" cy="1902460"/>
            <wp:effectExtent l="4445" t="4445" r="19685"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center"/>
        <w:textAlignment w:val="auto"/>
        <w:rPr>
          <w:rFonts w:ascii="仿宋" w:hAnsi="仿宋" w:eastAsia="仿宋"/>
          <w:sz w:val="32"/>
          <w:szCs w:val="32"/>
          <w:highlight w:val="none"/>
        </w:rPr>
      </w:pPr>
      <w:r>
        <w:rPr>
          <w:rFonts w:hint="eastAsia" w:ascii="仿宋" w:hAnsi="仿宋" w:eastAsia="仿宋"/>
          <w:sz w:val="32"/>
          <w:szCs w:val="32"/>
          <w:highlight w:val="none"/>
        </w:rPr>
        <w:t>（图3：支出决算结构图）</w:t>
      </w:r>
    </w:p>
    <w:p>
      <w:pPr>
        <w:spacing w:line="600" w:lineRule="exact"/>
        <w:ind w:firstLine="640" w:firstLineChars="200"/>
        <w:outlineLvl w:val="1"/>
        <w:rPr>
          <w:rStyle w:val="20"/>
          <w:rFonts w:ascii="黑体" w:hAnsi="黑体" w:eastAsia="黑体"/>
          <w:b w:val="0"/>
          <w:highlight w:val="none"/>
        </w:rPr>
      </w:pPr>
      <w:bookmarkStart w:id="92" w:name="_Toc15396606"/>
      <w:bookmarkStart w:id="93" w:name="_Toc7744"/>
      <w:bookmarkStart w:id="94" w:name="_Toc5910"/>
      <w:bookmarkStart w:id="95" w:name="_Toc24089"/>
      <w:bookmarkStart w:id="96" w:name="_Toc15377208"/>
      <w:r>
        <w:rPr>
          <w:rFonts w:hint="eastAsia" w:ascii="黑体" w:hAnsi="黑体" w:eastAsia="黑体"/>
          <w:sz w:val="32"/>
          <w:szCs w:val="32"/>
          <w:highlight w:val="none"/>
        </w:rPr>
        <w:t>四、财</w:t>
      </w:r>
      <w:r>
        <w:rPr>
          <w:rStyle w:val="20"/>
          <w:rFonts w:hint="eastAsia" w:ascii="黑体" w:hAnsi="黑体" w:eastAsia="黑体"/>
          <w:b w:val="0"/>
          <w:highlight w:val="none"/>
        </w:rPr>
        <w:t>政拨款收入支出决算总体情况说明</w:t>
      </w:r>
      <w:bookmarkEnd w:id="92"/>
      <w:bookmarkEnd w:id="93"/>
      <w:bookmarkEnd w:id="94"/>
      <w:bookmarkEnd w:id="95"/>
      <w:bookmarkEnd w:id="96"/>
    </w:p>
    <w:p>
      <w:pPr>
        <w:spacing w:line="600" w:lineRule="exact"/>
        <w:ind w:firstLine="640"/>
        <w:rPr>
          <w:rFonts w:ascii="仿宋" w:hAnsi="仿宋" w:eastAsia="仿宋"/>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22年财政拨款收、支总计340.16万元。与</w:t>
      </w:r>
      <w:r>
        <w:rPr>
          <w:rFonts w:ascii="仿宋" w:hAnsi="仿宋" w:eastAsia="仿宋"/>
          <w:sz w:val="32"/>
          <w:szCs w:val="32"/>
          <w:highlight w:val="none"/>
        </w:rPr>
        <w:t>20</w:t>
      </w:r>
      <w:r>
        <w:rPr>
          <w:rFonts w:hint="eastAsia" w:ascii="仿宋" w:hAnsi="仿宋" w:eastAsia="仿宋"/>
          <w:sz w:val="32"/>
          <w:szCs w:val="32"/>
          <w:highlight w:val="none"/>
        </w:rPr>
        <w:t>21年相比，财政拨款收、支总计各增加101.77万元，增长42.</w:t>
      </w:r>
      <w:r>
        <w:rPr>
          <w:rFonts w:hint="eastAsia" w:ascii="仿宋" w:hAnsi="仿宋" w:eastAsia="仿宋"/>
          <w:sz w:val="32"/>
          <w:szCs w:val="32"/>
          <w:highlight w:val="none"/>
          <w:lang w:val="en-US" w:eastAsia="zh-CN"/>
        </w:rPr>
        <w:t>69</w:t>
      </w:r>
      <w:r>
        <w:rPr>
          <w:rFonts w:ascii="仿宋" w:hAnsi="仿宋" w:eastAsia="仿宋"/>
          <w:sz w:val="32"/>
          <w:szCs w:val="32"/>
          <w:highlight w:val="none"/>
        </w:rPr>
        <w:t>%</w:t>
      </w:r>
      <w:r>
        <w:rPr>
          <w:rFonts w:hint="eastAsia" w:ascii="仿宋" w:hAnsi="仿宋" w:eastAsia="仿宋"/>
          <w:sz w:val="32"/>
          <w:szCs w:val="32"/>
          <w:highlight w:val="none"/>
        </w:rPr>
        <w:t>。主要变动原因是2020年和2021年目标考核奖在2022年预算发放及项目经费支出增加。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drawing>
          <wp:inline distT="0" distB="0" distL="0" distR="0">
            <wp:extent cx="4100195" cy="2000885"/>
            <wp:effectExtent l="4445" t="4445" r="1016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center"/>
        <w:textAlignment w:val="auto"/>
        <w:rPr>
          <w:rFonts w:ascii="仿宋" w:hAnsi="仿宋" w:eastAsia="仿宋"/>
          <w:sz w:val="32"/>
          <w:szCs w:val="32"/>
          <w:highlight w:val="none"/>
        </w:rPr>
      </w:pPr>
      <w:r>
        <w:rPr>
          <w:rFonts w:hint="eastAsia" w:ascii="仿宋" w:hAnsi="仿宋" w:eastAsia="仿宋"/>
          <w:sz w:val="32"/>
          <w:szCs w:val="32"/>
          <w:highlight w:val="none"/>
        </w:rPr>
        <w:t>（图4：财政拨款收、支决算总计变动情况）</w:t>
      </w:r>
    </w:p>
    <w:p>
      <w:pPr>
        <w:spacing w:line="600" w:lineRule="exact"/>
        <w:ind w:firstLine="640" w:firstLineChars="200"/>
        <w:outlineLvl w:val="1"/>
        <w:rPr>
          <w:rStyle w:val="20"/>
          <w:rFonts w:ascii="黑体" w:hAnsi="黑体" w:eastAsia="黑体"/>
          <w:b w:val="0"/>
          <w:highlight w:val="none"/>
        </w:rPr>
      </w:pPr>
      <w:bookmarkStart w:id="97" w:name="_Toc15396607"/>
      <w:bookmarkStart w:id="98" w:name="_Toc15377209"/>
      <w:bookmarkStart w:id="99" w:name="_Toc11030"/>
      <w:bookmarkStart w:id="100" w:name="_Toc9175"/>
      <w:bookmarkStart w:id="101" w:name="_Toc30726"/>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0"/>
          <w:rFonts w:hint="eastAsia" w:ascii="黑体" w:hAnsi="黑体" w:eastAsia="黑体"/>
          <w:b w:val="0"/>
          <w:highlight w:val="none"/>
        </w:rPr>
        <w:t>般公共预算财政拨款支出决算情况说明</w:t>
      </w:r>
      <w:bookmarkEnd w:id="97"/>
      <w:bookmarkEnd w:id="98"/>
      <w:bookmarkEnd w:id="99"/>
      <w:bookmarkEnd w:id="100"/>
      <w:bookmarkEnd w:id="101"/>
    </w:p>
    <w:p>
      <w:pPr>
        <w:spacing w:line="600" w:lineRule="exact"/>
        <w:ind w:firstLine="643" w:firstLineChars="200"/>
        <w:outlineLvl w:val="2"/>
        <w:rPr>
          <w:rFonts w:ascii="仿宋" w:hAnsi="仿宋" w:eastAsia="仿宋"/>
          <w:b/>
          <w:sz w:val="32"/>
          <w:szCs w:val="32"/>
          <w:highlight w:val="none"/>
        </w:rPr>
      </w:pPr>
      <w:bookmarkStart w:id="102" w:name="_Toc15377210"/>
      <w:r>
        <w:rPr>
          <w:rFonts w:hint="eastAsia" w:ascii="仿宋" w:hAnsi="仿宋" w:eastAsia="仿宋"/>
          <w:b/>
          <w:sz w:val="32"/>
          <w:szCs w:val="32"/>
          <w:highlight w:val="none"/>
        </w:rPr>
        <w:t>（一）一般公共预算财政拨款支出决算总体情况</w:t>
      </w:r>
      <w:bookmarkEnd w:id="102"/>
    </w:p>
    <w:p>
      <w:pPr>
        <w:spacing w:line="600" w:lineRule="exact"/>
        <w:ind w:firstLine="640" w:firstLineChars="200"/>
        <w:rPr>
          <w:rFonts w:hint="eastAsia" w:ascii="仿宋" w:hAnsi="仿宋" w:eastAsia="仿宋"/>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22年一般公共预算财政拨款支出328.26万元，占本年支出合计的100</w:t>
      </w:r>
      <w:r>
        <w:rPr>
          <w:rFonts w:ascii="仿宋" w:hAnsi="仿宋" w:eastAsia="仿宋"/>
          <w:sz w:val="32"/>
          <w:szCs w:val="32"/>
          <w:highlight w:val="none"/>
        </w:rPr>
        <w:t>%</w:t>
      </w:r>
      <w:r>
        <w:rPr>
          <w:rFonts w:hint="eastAsia" w:ascii="仿宋" w:hAnsi="仿宋" w:eastAsia="仿宋"/>
          <w:sz w:val="32"/>
          <w:szCs w:val="32"/>
          <w:highlight w:val="none"/>
        </w:rPr>
        <w:t>。与</w:t>
      </w:r>
      <w:r>
        <w:rPr>
          <w:rFonts w:ascii="仿宋" w:hAnsi="仿宋" w:eastAsia="仿宋"/>
          <w:sz w:val="32"/>
          <w:szCs w:val="32"/>
          <w:highlight w:val="none"/>
        </w:rPr>
        <w:t>20</w:t>
      </w:r>
      <w:r>
        <w:rPr>
          <w:rFonts w:hint="eastAsia" w:ascii="仿宋" w:hAnsi="仿宋" w:eastAsia="仿宋"/>
          <w:sz w:val="32"/>
          <w:szCs w:val="32"/>
          <w:highlight w:val="none"/>
        </w:rPr>
        <w:t>21年相比，一般公共预算财政拨款支出增加144.53万元，增长78.</w:t>
      </w:r>
      <w:r>
        <w:rPr>
          <w:rFonts w:hint="eastAsia" w:ascii="仿宋" w:hAnsi="仿宋" w:eastAsia="仿宋"/>
          <w:sz w:val="32"/>
          <w:szCs w:val="32"/>
          <w:highlight w:val="none"/>
          <w:lang w:val="en-US" w:eastAsia="zh-CN"/>
        </w:rPr>
        <w:t>66</w:t>
      </w:r>
      <w:r>
        <w:rPr>
          <w:rFonts w:ascii="仿宋" w:hAnsi="仿宋" w:eastAsia="仿宋"/>
          <w:sz w:val="32"/>
          <w:szCs w:val="32"/>
          <w:highlight w:val="none"/>
        </w:rPr>
        <w:t>%</w:t>
      </w:r>
      <w:r>
        <w:rPr>
          <w:rFonts w:hint="eastAsia" w:ascii="仿宋" w:hAnsi="仿宋" w:eastAsia="仿宋"/>
          <w:sz w:val="32"/>
          <w:szCs w:val="32"/>
          <w:highlight w:val="none"/>
        </w:rPr>
        <w:t>。主要变动原因是2020年和2021年目标考核奖在2022年预算发放及项目经费支出增加。</w:t>
      </w:r>
    </w:p>
    <w:p>
      <w:pPr>
        <w:pStyle w:val="6"/>
      </w:pP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drawing>
          <wp:inline distT="0" distB="0" distL="0" distR="0">
            <wp:extent cx="4196080" cy="1781175"/>
            <wp:effectExtent l="4445" t="4445" r="9525" b="508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pPr>
        <w:spacing w:line="600" w:lineRule="exact"/>
        <w:ind w:firstLine="643" w:firstLineChars="200"/>
        <w:outlineLvl w:val="2"/>
        <w:rPr>
          <w:rFonts w:ascii="仿宋" w:hAnsi="仿宋" w:eastAsia="仿宋"/>
          <w:b/>
          <w:sz w:val="32"/>
          <w:szCs w:val="32"/>
          <w:highlight w:val="none"/>
        </w:rPr>
      </w:pPr>
      <w:bookmarkStart w:id="103" w:name="_Toc15377211"/>
      <w:r>
        <w:rPr>
          <w:rFonts w:hint="eastAsia" w:ascii="仿宋" w:hAnsi="仿宋" w:eastAsia="仿宋"/>
          <w:b/>
          <w:sz w:val="32"/>
          <w:szCs w:val="32"/>
          <w:highlight w:val="none"/>
        </w:rPr>
        <w:t>（二）一般公共预算财政拨款支出决算结构情况</w:t>
      </w:r>
      <w:bookmarkEnd w:id="103"/>
    </w:p>
    <w:p>
      <w:pPr>
        <w:spacing w:line="600" w:lineRule="exact"/>
        <w:ind w:firstLine="640"/>
        <w:rPr>
          <w:rFonts w:ascii="仿宋" w:hAnsi="仿宋" w:eastAsia="仿宋"/>
          <w:b/>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22年一般公共预算财政拨款支出328.26万元，主要用于以下方面</w:t>
      </w:r>
      <w:r>
        <w:rPr>
          <w:rFonts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rPr>
        <w:t>302.58万元，占92.</w:t>
      </w:r>
      <w:r>
        <w:rPr>
          <w:rFonts w:hint="eastAsia" w:ascii="仿宋" w:hAnsi="仿宋" w:eastAsia="仿宋"/>
          <w:sz w:val="32"/>
          <w:szCs w:val="32"/>
          <w:highlight w:val="none"/>
          <w:lang w:val="en-US" w:eastAsia="zh-CN"/>
        </w:rPr>
        <w:t>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rPr>
        <w:t>7.37万元，占2.</w:t>
      </w:r>
      <w:r>
        <w:rPr>
          <w:rFonts w:hint="eastAsia" w:ascii="仿宋" w:hAnsi="仿宋" w:eastAsia="仿宋"/>
          <w:sz w:val="32"/>
          <w:szCs w:val="32"/>
          <w:highlight w:val="none"/>
          <w:lang w:val="en-US" w:eastAsia="zh-CN"/>
        </w:rPr>
        <w:t>24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rPr>
        <w:t>18.31万元，占</w:t>
      </w:r>
      <w:r>
        <w:rPr>
          <w:rFonts w:hint="eastAsia" w:ascii="仿宋" w:hAnsi="仿宋" w:eastAsia="仿宋"/>
          <w:sz w:val="32"/>
          <w:szCs w:val="32"/>
          <w:highlight w:val="none"/>
          <w:lang w:val="en-US" w:eastAsia="zh-CN"/>
        </w:rPr>
        <w:t>5.58</w:t>
      </w:r>
      <w:r>
        <w:rPr>
          <w:rFonts w:ascii="仿宋" w:hAnsi="仿宋" w:eastAsia="仿宋"/>
          <w:sz w:val="32"/>
          <w:szCs w:val="32"/>
          <w:highlight w:val="none"/>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drawing>
          <wp:inline distT="0" distB="0" distL="0" distR="0">
            <wp:extent cx="3822065" cy="1884045"/>
            <wp:effectExtent l="4445" t="5080" r="21590" b="158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960" w:firstLineChars="300"/>
        <w:textAlignment w:val="auto"/>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pPr>
        <w:spacing w:line="600" w:lineRule="exact"/>
        <w:ind w:firstLine="643" w:firstLineChars="200"/>
        <w:outlineLvl w:val="2"/>
        <w:rPr>
          <w:rFonts w:ascii="仿宋" w:hAnsi="仿宋" w:eastAsia="仿宋"/>
          <w:b/>
          <w:sz w:val="32"/>
          <w:szCs w:val="32"/>
          <w:highlight w:val="none"/>
        </w:rPr>
      </w:pPr>
      <w:bookmarkStart w:id="104" w:name="_Toc15377212"/>
      <w:r>
        <w:rPr>
          <w:rFonts w:hint="eastAsia" w:ascii="仿宋" w:hAnsi="仿宋" w:eastAsia="仿宋"/>
          <w:b/>
          <w:sz w:val="32"/>
          <w:szCs w:val="32"/>
          <w:highlight w:val="none"/>
        </w:rPr>
        <w:t>（三）一般公共预算财政拨款支出决算具体情况</w:t>
      </w:r>
      <w:bookmarkEnd w:id="104"/>
    </w:p>
    <w:p>
      <w:pPr>
        <w:spacing w:line="600" w:lineRule="exact"/>
        <w:ind w:firstLine="643" w:firstLineChars="200"/>
        <w:outlineLvl w:val="1"/>
        <w:rPr>
          <w:rFonts w:ascii="仿宋" w:hAnsi="仿宋" w:eastAsia="仿宋"/>
          <w:sz w:val="32"/>
          <w:szCs w:val="32"/>
          <w:highlight w:val="none"/>
        </w:rPr>
      </w:pPr>
      <w:bookmarkStart w:id="105" w:name="_Toc17280"/>
      <w:bookmarkStart w:id="106" w:name="_Toc15377444"/>
      <w:bookmarkStart w:id="107" w:name="_Toc15377213"/>
      <w:bookmarkStart w:id="108" w:name="_Toc4863"/>
      <w:bookmarkStart w:id="109" w:name="_Toc26955"/>
      <w:bookmarkStart w:id="110" w:name="_Toc7843"/>
      <w:bookmarkStart w:id="111" w:name="_Toc15378460"/>
      <w:r>
        <w:rPr>
          <w:rFonts w:hint="eastAsia" w:ascii="仿宋" w:hAnsi="仿宋" w:eastAsia="仿宋"/>
          <w:b/>
          <w:sz w:val="32"/>
          <w:szCs w:val="32"/>
          <w:highlight w:val="none"/>
        </w:rPr>
        <w:t>2022年一般公共预算支出决算数为328.26万元</w:t>
      </w:r>
      <w:r>
        <w:rPr>
          <w:rFonts w:hint="eastAsia" w:ascii="仿宋" w:hAnsi="仿宋" w:eastAsia="仿宋"/>
          <w:sz w:val="32"/>
          <w:szCs w:val="32"/>
          <w:highlight w:val="none"/>
        </w:rPr>
        <w:t>，</w:t>
      </w:r>
      <w:r>
        <w:rPr>
          <w:rStyle w:val="17"/>
          <w:rFonts w:hint="eastAsia" w:ascii="仿宋" w:hAnsi="仿宋" w:eastAsia="仿宋"/>
          <w:bCs/>
          <w:sz w:val="32"/>
          <w:szCs w:val="32"/>
          <w:highlight w:val="none"/>
        </w:rPr>
        <w:t>完成预算96.5</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。其中：</w:t>
      </w:r>
      <w:bookmarkEnd w:id="105"/>
      <w:bookmarkEnd w:id="106"/>
      <w:bookmarkEnd w:id="107"/>
      <w:bookmarkEnd w:id="108"/>
      <w:bookmarkEnd w:id="109"/>
      <w:bookmarkEnd w:id="110"/>
      <w:bookmarkEnd w:id="111"/>
    </w:p>
    <w:p>
      <w:pPr>
        <w:spacing w:line="600" w:lineRule="exact"/>
        <w:ind w:firstLine="643" w:firstLineChars="200"/>
        <w:rPr>
          <w:rStyle w:val="17"/>
          <w:rFonts w:ascii="仿宋" w:hAnsi="仿宋" w:eastAsia="仿宋"/>
          <w:b w:val="0"/>
          <w:bCs/>
          <w:sz w:val="32"/>
          <w:szCs w:val="32"/>
          <w:highlight w:val="none"/>
        </w:rPr>
      </w:pPr>
      <w:r>
        <w:rPr>
          <w:rStyle w:val="17"/>
          <w:rFonts w:ascii="仿宋" w:hAnsi="仿宋" w:eastAsia="仿宋"/>
          <w:bCs/>
          <w:sz w:val="32"/>
          <w:szCs w:val="32"/>
          <w:highlight w:val="none"/>
        </w:rPr>
        <w:t>1.</w:t>
      </w:r>
      <w:r>
        <w:rPr>
          <w:rStyle w:val="17"/>
          <w:rFonts w:hint="eastAsia" w:ascii="仿宋" w:hAnsi="仿宋" w:eastAsia="仿宋"/>
          <w:bCs/>
          <w:sz w:val="32"/>
          <w:szCs w:val="32"/>
          <w:highlight w:val="none"/>
        </w:rPr>
        <w:t>社会保障和就业支出（类）人力资源和社会保障管理事务（款）综合业务管理（项）</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支出决算为136.33万元，完成预算91.97</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，决算数小于预算数的主要原因是部分费用在下年度支付。</w:t>
      </w:r>
    </w:p>
    <w:p>
      <w:pPr>
        <w:spacing w:line="600" w:lineRule="exact"/>
        <w:ind w:firstLine="643" w:firstLineChars="200"/>
        <w:rPr>
          <w:rStyle w:val="17"/>
          <w:rFonts w:ascii="仿宋" w:hAnsi="仿宋" w:eastAsia="仿宋"/>
          <w:b w:val="0"/>
          <w:bCs/>
          <w:sz w:val="32"/>
          <w:szCs w:val="32"/>
          <w:highlight w:val="none"/>
        </w:rPr>
      </w:pPr>
      <w:r>
        <w:rPr>
          <w:rStyle w:val="17"/>
          <w:rFonts w:hint="eastAsia" w:ascii="仿宋" w:hAnsi="仿宋" w:eastAsia="仿宋"/>
          <w:bCs/>
          <w:sz w:val="32"/>
          <w:szCs w:val="32"/>
          <w:highlight w:val="none"/>
        </w:rPr>
        <w:t>2</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社会保障和就业支出（类）人力资源和社会保障管理事务（款）社会保险业务管理事务（项）</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w:t>
      </w:r>
      <w:r>
        <w:rPr>
          <w:rStyle w:val="17"/>
          <w:rFonts w:ascii="仿宋" w:hAnsi="仿宋" w:eastAsia="仿宋"/>
          <w:b w:val="0"/>
          <w:bCs/>
          <w:sz w:val="32"/>
          <w:szCs w:val="32"/>
          <w:highlight w:val="none"/>
        </w:rPr>
        <w:t>148.53</w:t>
      </w:r>
      <w:r>
        <w:rPr>
          <w:rStyle w:val="17"/>
          <w:rFonts w:hint="eastAsia" w:ascii="仿宋" w:hAnsi="仿宋" w:eastAsia="仿宋"/>
          <w:b w:val="0"/>
          <w:bCs/>
          <w:sz w:val="32"/>
          <w:szCs w:val="32"/>
          <w:highlight w:val="none"/>
        </w:rPr>
        <w:t>万元，完成预算100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pPr>
        <w:spacing w:line="600" w:lineRule="exact"/>
        <w:ind w:firstLine="643" w:firstLineChars="200"/>
        <w:rPr>
          <w:rFonts w:ascii="仿宋" w:hAnsi="仿宋" w:eastAsia="仿宋"/>
          <w:b/>
          <w:bCs/>
          <w:sz w:val="32"/>
          <w:szCs w:val="32"/>
          <w:highlight w:val="none"/>
        </w:rPr>
      </w:pPr>
      <w:r>
        <w:rPr>
          <w:rStyle w:val="17"/>
          <w:rFonts w:hint="eastAsia" w:ascii="仿宋" w:hAnsi="仿宋" w:eastAsia="仿宋"/>
          <w:bCs/>
          <w:sz w:val="32"/>
          <w:szCs w:val="32"/>
          <w:highlight w:val="none"/>
        </w:rPr>
        <w:t>3</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社会保障和就业支出（类）行政事业单位养老支出（款）机关事业单位基本养老保险缴费支出（项）</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w:t>
      </w:r>
      <w:r>
        <w:rPr>
          <w:rStyle w:val="17"/>
          <w:rFonts w:ascii="仿宋" w:hAnsi="仿宋" w:eastAsia="仿宋"/>
          <w:b w:val="0"/>
          <w:bCs/>
          <w:sz w:val="32"/>
          <w:szCs w:val="32"/>
          <w:highlight w:val="none"/>
        </w:rPr>
        <w:t>17.72</w:t>
      </w:r>
      <w:r>
        <w:rPr>
          <w:rStyle w:val="17"/>
          <w:rFonts w:hint="eastAsia" w:ascii="仿宋" w:hAnsi="仿宋" w:eastAsia="仿宋"/>
          <w:b w:val="0"/>
          <w:bCs/>
          <w:sz w:val="32"/>
          <w:szCs w:val="32"/>
          <w:highlight w:val="none"/>
        </w:rPr>
        <w:t>万元，完成预算100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pPr>
        <w:spacing w:line="600" w:lineRule="exact"/>
        <w:ind w:firstLine="643" w:firstLineChars="200"/>
        <w:rPr>
          <w:rFonts w:ascii="仿宋" w:hAnsi="仿宋" w:eastAsia="仿宋"/>
          <w:b/>
          <w:sz w:val="32"/>
          <w:szCs w:val="32"/>
          <w:highlight w:val="none"/>
        </w:rPr>
      </w:pPr>
      <w:r>
        <w:rPr>
          <w:rStyle w:val="17"/>
          <w:rFonts w:hint="eastAsia" w:ascii="仿宋" w:hAnsi="仿宋" w:eastAsia="仿宋"/>
          <w:bCs/>
          <w:sz w:val="32"/>
          <w:szCs w:val="32"/>
          <w:highlight w:val="none"/>
        </w:rPr>
        <w:t>4</w:t>
      </w:r>
      <w:r>
        <w:rPr>
          <w:rStyle w:val="17"/>
          <w:rFonts w:ascii="仿宋" w:hAnsi="仿宋" w:eastAsia="仿宋"/>
          <w:bCs/>
          <w:sz w:val="32"/>
          <w:szCs w:val="32"/>
          <w:highlight w:val="none"/>
        </w:rPr>
        <w:t>.</w:t>
      </w:r>
      <w:r>
        <w:rPr>
          <w:rFonts w:hint="eastAsia" w:ascii="仿宋" w:hAnsi="仿宋" w:eastAsia="仿宋"/>
          <w:b/>
          <w:bCs/>
          <w:sz w:val="32"/>
          <w:szCs w:val="32"/>
          <w:highlight w:val="none"/>
        </w:rPr>
        <w:t>卫生健康支出</w:t>
      </w:r>
      <w:r>
        <w:rPr>
          <w:rStyle w:val="17"/>
          <w:rFonts w:hint="eastAsia" w:ascii="仿宋" w:hAnsi="仿宋" w:eastAsia="仿宋"/>
          <w:bCs/>
          <w:sz w:val="32"/>
          <w:szCs w:val="32"/>
          <w:highlight w:val="none"/>
        </w:rPr>
        <w:t>（类）行政事业单位医疗（款）事业单位医疗（项）</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w:t>
      </w:r>
      <w:r>
        <w:rPr>
          <w:rStyle w:val="17"/>
          <w:rFonts w:ascii="仿宋" w:hAnsi="仿宋" w:eastAsia="仿宋"/>
          <w:b w:val="0"/>
          <w:bCs/>
          <w:sz w:val="32"/>
          <w:szCs w:val="32"/>
          <w:highlight w:val="none"/>
        </w:rPr>
        <w:t>7.37</w:t>
      </w:r>
      <w:r>
        <w:rPr>
          <w:rStyle w:val="17"/>
          <w:rFonts w:hint="eastAsia" w:ascii="仿宋" w:hAnsi="仿宋" w:eastAsia="仿宋"/>
          <w:b w:val="0"/>
          <w:bCs/>
          <w:sz w:val="32"/>
          <w:szCs w:val="32"/>
          <w:highlight w:val="none"/>
        </w:rPr>
        <w:t>万元，完成预算100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pPr>
        <w:spacing w:line="600" w:lineRule="exact"/>
        <w:ind w:firstLine="643" w:firstLineChars="200"/>
        <w:rPr>
          <w:rStyle w:val="17"/>
          <w:rFonts w:ascii="仿宋" w:hAnsi="仿宋" w:eastAsia="仿宋"/>
          <w:b w:val="0"/>
          <w:bCs/>
          <w:sz w:val="32"/>
          <w:szCs w:val="32"/>
          <w:highlight w:val="none"/>
        </w:rPr>
      </w:pPr>
      <w:r>
        <w:rPr>
          <w:rStyle w:val="17"/>
          <w:rFonts w:hint="eastAsia" w:ascii="仿宋" w:hAnsi="仿宋" w:eastAsia="仿宋"/>
          <w:bCs/>
          <w:sz w:val="32"/>
          <w:szCs w:val="32"/>
          <w:highlight w:val="none"/>
        </w:rPr>
        <w:t>5</w:t>
      </w:r>
      <w:r>
        <w:rPr>
          <w:rStyle w:val="17"/>
          <w:rFonts w:ascii="仿宋" w:hAnsi="仿宋" w:eastAsia="仿宋"/>
          <w:bCs/>
          <w:sz w:val="32"/>
          <w:szCs w:val="32"/>
          <w:highlight w:val="none"/>
        </w:rPr>
        <w:t>.</w:t>
      </w:r>
      <w:r>
        <w:rPr>
          <w:rFonts w:hint="eastAsia"/>
          <w:highlight w:val="none"/>
        </w:rPr>
        <w:t xml:space="preserve"> </w:t>
      </w:r>
      <w:r>
        <w:rPr>
          <w:rFonts w:hint="eastAsia" w:ascii="仿宋" w:hAnsi="仿宋" w:eastAsia="仿宋"/>
          <w:b/>
          <w:bCs/>
          <w:sz w:val="32"/>
          <w:szCs w:val="32"/>
          <w:highlight w:val="none"/>
        </w:rPr>
        <w:t>住房保障支出</w:t>
      </w:r>
      <w:r>
        <w:rPr>
          <w:rStyle w:val="17"/>
          <w:rFonts w:hint="eastAsia" w:ascii="仿宋" w:hAnsi="仿宋" w:eastAsia="仿宋"/>
          <w:bCs/>
          <w:sz w:val="32"/>
          <w:szCs w:val="32"/>
          <w:highlight w:val="none"/>
        </w:rPr>
        <w:t>（类）住房改革支出（款）住房公积金（项）</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支出决算为18.31万元，完成预算100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pPr>
        <w:tabs>
          <w:tab w:val="right" w:pos="8306"/>
        </w:tabs>
        <w:spacing w:line="600" w:lineRule="exact"/>
        <w:ind w:firstLine="640"/>
        <w:outlineLvl w:val="1"/>
        <w:rPr>
          <w:rStyle w:val="20"/>
          <w:highlight w:val="none"/>
        </w:rPr>
      </w:pPr>
      <w:bookmarkStart w:id="112" w:name="_Toc32565"/>
      <w:bookmarkStart w:id="113" w:name="_Toc15963"/>
      <w:bookmarkStart w:id="114" w:name="_Toc15377214"/>
      <w:bookmarkStart w:id="115" w:name="_Toc15396608"/>
      <w:bookmarkStart w:id="116" w:name="_Toc15027"/>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0"/>
          <w:rFonts w:hint="eastAsia" w:ascii="黑体" w:hAnsi="黑体" w:eastAsia="黑体"/>
          <w:b w:val="0"/>
          <w:highlight w:val="none"/>
        </w:rPr>
        <w:t>般公共预算财政拨款基本支出决算情况说明</w:t>
      </w:r>
      <w:bookmarkEnd w:id="112"/>
      <w:bookmarkEnd w:id="113"/>
      <w:bookmarkEnd w:id="114"/>
      <w:bookmarkEnd w:id="115"/>
      <w:bookmarkEnd w:id="116"/>
      <w:r>
        <w:rPr>
          <w:rStyle w:val="20"/>
          <w:rFonts w:ascii="黑体" w:hAnsi="黑体" w:eastAsia="黑体"/>
          <w:b w:val="0"/>
          <w:highlight w:val="none"/>
        </w:rPr>
        <w:tab/>
      </w:r>
    </w:p>
    <w:p>
      <w:pPr>
        <w:spacing w:line="600" w:lineRule="exact"/>
        <w:ind w:firstLine="645"/>
        <w:rPr>
          <w:rFonts w:ascii="仿宋" w:hAnsi="仿宋" w:eastAsia="仿宋"/>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22年一般公共预算财政拨款基本支出223.25万元，其中：</w:t>
      </w:r>
    </w:p>
    <w:p>
      <w:pPr>
        <w:spacing w:line="600" w:lineRule="exact"/>
        <w:ind w:firstLine="645"/>
        <w:rPr>
          <w:rFonts w:hint="eastAsia" w:ascii="仿宋" w:hAnsi="仿宋" w:eastAsia="仿宋"/>
          <w:sz w:val="32"/>
          <w:szCs w:val="32"/>
          <w:highlight w:val="none"/>
          <w:lang w:eastAsia="zh-CN"/>
        </w:rPr>
      </w:pPr>
      <w:r>
        <w:rPr>
          <w:rFonts w:hint="eastAsia" w:ascii="仿宋" w:hAnsi="仿宋" w:eastAsia="仿宋"/>
          <w:sz w:val="32"/>
          <w:szCs w:val="32"/>
          <w:highlight w:val="none"/>
        </w:rPr>
        <w:t>人员经费195.96万元，主要包括：基本工资、津贴补贴、奖金、伙食补助费、机关事业单位基本养老保险缴费、</w:t>
      </w:r>
      <w:r>
        <w:rPr>
          <w:rFonts w:hint="eastAsia" w:ascii="仿宋" w:hAnsi="仿宋" w:eastAsia="仿宋"/>
          <w:sz w:val="32"/>
          <w:szCs w:val="32"/>
          <w:highlight w:val="none"/>
          <w:lang w:val="en-US" w:eastAsia="zh-CN"/>
        </w:rPr>
        <w:t>职工基本医疗保险缴费</w:t>
      </w:r>
      <w:r>
        <w:rPr>
          <w:rFonts w:hint="eastAsia" w:ascii="仿宋" w:hAnsi="仿宋" w:eastAsia="仿宋"/>
          <w:sz w:val="32"/>
          <w:szCs w:val="32"/>
          <w:highlight w:val="none"/>
        </w:rPr>
        <w:t>、其他社会保障缴费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住房公积金</w:t>
      </w:r>
      <w:r>
        <w:rPr>
          <w:rFonts w:hint="eastAsia" w:ascii="仿宋" w:hAnsi="仿宋" w:eastAsia="仿宋"/>
          <w:sz w:val="32"/>
          <w:szCs w:val="32"/>
          <w:highlight w:val="none"/>
        </w:rPr>
        <w:t>、其他工资福利支出、生活补助、奖励金、其他对个人和家庭的补助支出。</w:t>
      </w:r>
    </w:p>
    <w:p>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公用经费27.28万元，主要包括：办公费、水费、邮电费、物业管理费、差旅费、维修（护）费、租赁费、培训费、公务接待费、劳务费、工会经费、福利费、其他交通费</w:t>
      </w:r>
      <w:r>
        <w:rPr>
          <w:rFonts w:hint="eastAsia" w:ascii="仿宋" w:hAnsi="仿宋" w:eastAsia="仿宋"/>
          <w:sz w:val="32"/>
          <w:szCs w:val="32"/>
          <w:highlight w:val="none"/>
          <w:lang w:val="en-US" w:eastAsia="zh-CN"/>
        </w:rPr>
        <w:t>用</w:t>
      </w:r>
      <w:r>
        <w:rPr>
          <w:rFonts w:hint="eastAsia" w:ascii="仿宋" w:hAnsi="仿宋" w:eastAsia="仿宋"/>
          <w:sz w:val="32"/>
          <w:szCs w:val="32"/>
          <w:highlight w:val="none"/>
        </w:rPr>
        <w:t>、其他商品和服务支出。</w:t>
      </w:r>
    </w:p>
    <w:p>
      <w:pPr>
        <w:spacing w:line="600" w:lineRule="exact"/>
        <w:ind w:firstLine="640"/>
        <w:outlineLvl w:val="1"/>
        <w:rPr>
          <w:rStyle w:val="20"/>
          <w:rFonts w:ascii="黑体" w:hAnsi="黑体" w:eastAsia="黑体"/>
          <w:b w:val="0"/>
          <w:highlight w:val="none"/>
        </w:rPr>
      </w:pPr>
      <w:bookmarkStart w:id="117" w:name="_Toc21138"/>
      <w:bookmarkStart w:id="118" w:name="_Toc12858"/>
      <w:bookmarkStart w:id="119" w:name="_Toc15396609"/>
      <w:bookmarkStart w:id="120" w:name="_Toc15377215"/>
      <w:bookmarkStart w:id="121" w:name="_Toc8493"/>
      <w:r>
        <w:rPr>
          <w:rFonts w:hint="eastAsia" w:ascii="黑体" w:eastAsia="黑体"/>
          <w:sz w:val="32"/>
          <w:szCs w:val="32"/>
          <w:highlight w:val="none"/>
        </w:rPr>
        <w:t>七、</w:t>
      </w:r>
      <w:r>
        <w:rPr>
          <w:rStyle w:val="20"/>
          <w:rFonts w:hint="eastAsia" w:ascii="黑体" w:hAnsi="黑体" w:eastAsia="黑体"/>
          <w:b w:val="0"/>
          <w:highlight w:val="none"/>
        </w:rPr>
        <w:t>财政拨款</w:t>
      </w:r>
      <w:r>
        <w:rPr>
          <w:rStyle w:val="20"/>
          <w:rFonts w:hint="eastAsia" w:ascii="黑体" w:hAnsi="黑体" w:eastAsia="黑体"/>
          <w:highlight w:val="none"/>
        </w:rPr>
        <w:t>“</w:t>
      </w:r>
      <w:r>
        <w:rPr>
          <w:rStyle w:val="20"/>
          <w:rFonts w:hint="eastAsia" w:ascii="黑体" w:hAnsi="黑体" w:eastAsia="黑体"/>
          <w:b w:val="0"/>
          <w:highlight w:val="none"/>
        </w:rPr>
        <w:t>三公”经费支出决算情况说明</w:t>
      </w:r>
      <w:bookmarkEnd w:id="117"/>
      <w:bookmarkEnd w:id="118"/>
      <w:bookmarkEnd w:id="119"/>
      <w:bookmarkEnd w:id="120"/>
      <w:bookmarkEnd w:id="121"/>
    </w:p>
    <w:p>
      <w:pPr>
        <w:spacing w:line="600" w:lineRule="exact"/>
        <w:ind w:firstLine="640"/>
        <w:outlineLvl w:val="2"/>
        <w:rPr>
          <w:rFonts w:ascii="仿宋" w:hAnsi="仿宋" w:eastAsia="仿宋"/>
          <w:b/>
          <w:sz w:val="32"/>
          <w:szCs w:val="32"/>
          <w:highlight w:val="none"/>
        </w:rPr>
      </w:pPr>
      <w:bookmarkStart w:id="122" w:name="_Toc15377216"/>
      <w:r>
        <w:rPr>
          <w:rFonts w:hint="eastAsia" w:ascii="仿宋" w:hAnsi="仿宋" w:eastAsia="仿宋"/>
          <w:b/>
          <w:sz w:val="32"/>
          <w:szCs w:val="32"/>
          <w:highlight w:val="none"/>
        </w:rPr>
        <w:t>（一）“三公”经费财政拨款支出决算总体情况说明</w:t>
      </w:r>
      <w:bookmarkEnd w:id="122"/>
    </w:p>
    <w:p>
      <w:pPr>
        <w:spacing w:line="600" w:lineRule="exact"/>
        <w:ind w:firstLine="640"/>
        <w:rPr>
          <w:rFonts w:ascii="仿宋" w:hAnsi="仿宋" w:eastAsia="仿宋"/>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22年“三公”经费财政拨款支出决算为0.06万元，完成预算100</w:t>
      </w:r>
      <w:r>
        <w:rPr>
          <w:rFonts w:ascii="仿宋" w:hAnsi="仿宋" w:eastAsia="仿宋"/>
          <w:sz w:val="32"/>
          <w:szCs w:val="32"/>
          <w:highlight w:val="none"/>
        </w:rPr>
        <w:t>%</w:t>
      </w:r>
      <w:r>
        <w:rPr>
          <w:rFonts w:hint="eastAsia" w:ascii="仿宋" w:hAnsi="仿宋" w:eastAsia="仿宋"/>
          <w:sz w:val="32"/>
          <w:szCs w:val="32"/>
          <w:highlight w:val="none"/>
        </w:rPr>
        <w:t>，较上年减少0.28万元，下降82.</w:t>
      </w:r>
      <w:r>
        <w:rPr>
          <w:rFonts w:hint="eastAsia" w:ascii="仿宋" w:hAnsi="仿宋" w:eastAsia="仿宋"/>
          <w:sz w:val="32"/>
          <w:szCs w:val="32"/>
          <w:highlight w:val="none"/>
          <w:lang w:val="en-US" w:eastAsia="zh-CN"/>
        </w:rPr>
        <w:t>35</w:t>
      </w:r>
      <w:r>
        <w:rPr>
          <w:rFonts w:hint="eastAsia" w:ascii="仿宋" w:hAnsi="仿宋" w:eastAsia="仿宋"/>
          <w:sz w:val="32"/>
          <w:szCs w:val="32"/>
          <w:highlight w:val="none"/>
        </w:rPr>
        <w:t>%。决算数</w:t>
      </w:r>
      <w:r>
        <w:rPr>
          <w:rFonts w:hint="default" w:ascii="仿宋" w:hAnsi="仿宋" w:eastAsia="仿宋"/>
          <w:sz w:val="32"/>
          <w:szCs w:val="32"/>
          <w:highlight w:val="none"/>
        </w:rPr>
        <w:t>与</w:t>
      </w:r>
      <w:r>
        <w:rPr>
          <w:rFonts w:hint="eastAsia" w:ascii="仿宋" w:hAnsi="仿宋" w:eastAsia="仿宋"/>
          <w:sz w:val="32"/>
          <w:szCs w:val="32"/>
          <w:highlight w:val="none"/>
        </w:rPr>
        <w:t>预算数</w:t>
      </w:r>
      <w:r>
        <w:rPr>
          <w:rFonts w:hint="default" w:ascii="仿宋" w:hAnsi="仿宋" w:eastAsia="仿宋"/>
          <w:sz w:val="32"/>
          <w:szCs w:val="32"/>
          <w:highlight w:val="none"/>
        </w:rPr>
        <w:t>持平</w:t>
      </w:r>
      <w:r>
        <w:rPr>
          <w:rFonts w:hint="eastAsia" w:ascii="仿宋" w:hAnsi="仿宋" w:eastAsia="仿宋"/>
          <w:sz w:val="32"/>
          <w:szCs w:val="32"/>
          <w:highlight w:val="none"/>
        </w:rPr>
        <w:t>。</w:t>
      </w:r>
    </w:p>
    <w:p>
      <w:pPr>
        <w:spacing w:line="600" w:lineRule="exact"/>
        <w:ind w:firstLine="640"/>
        <w:outlineLvl w:val="2"/>
        <w:rPr>
          <w:rFonts w:ascii="仿宋" w:hAnsi="仿宋" w:eastAsia="仿宋"/>
          <w:b/>
          <w:sz w:val="32"/>
          <w:szCs w:val="32"/>
          <w:highlight w:val="none"/>
        </w:rPr>
      </w:pPr>
      <w:bookmarkStart w:id="123" w:name="_Toc15377217"/>
      <w:r>
        <w:rPr>
          <w:rFonts w:hint="eastAsia" w:ascii="仿宋" w:hAnsi="仿宋" w:eastAsia="仿宋"/>
          <w:b/>
          <w:sz w:val="32"/>
          <w:szCs w:val="32"/>
          <w:highlight w:val="none"/>
        </w:rPr>
        <w:t>（二）“三公”经费财政拨款支出决算具体情况说明</w:t>
      </w:r>
      <w:bookmarkEnd w:id="123"/>
    </w:p>
    <w:p>
      <w:pPr>
        <w:spacing w:line="600" w:lineRule="exact"/>
        <w:ind w:firstLine="640"/>
        <w:rPr>
          <w:rFonts w:hint="eastAsia" w:ascii="仿宋" w:hAnsi="仿宋" w:eastAsia="仿宋"/>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22年“三公”经费财政拨款支出决算中，因公出国（境）费支出决算0万元，占0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；公务用车购置及运行维护费支出决算0万元，占0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ascii="仿宋_GB2312" w:eastAsia="仿宋_GB2312" w:cs="仿宋_GB2312" w:hAnsiTheme="minorHAnsi"/>
          <w:color w:val="000000"/>
          <w:sz w:val="32"/>
          <w:szCs w:val="32"/>
          <w:highlight w:val="none"/>
          <w:lang w:val="zh-CN"/>
        </w:rPr>
        <w:t>0.06</w:t>
      </w:r>
      <w:r>
        <w:rPr>
          <w:rFonts w:hint="eastAsia" w:ascii="仿宋" w:hAnsi="仿宋" w:eastAsia="仿宋"/>
          <w:sz w:val="32"/>
          <w:szCs w:val="32"/>
          <w:highlight w:val="none"/>
        </w:rPr>
        <w:t>万元，占100</w:t>
      </w:r>
      <w:r>
        <w:rPr>
          <w:rFonts w:ascii="仿宋" w:hAnsi="仿宋" w:eastAsia="仿宋"/>
          <w:sz w:val="32"/>
          <w:szCs w:val="32"/>
          <w:highlight w:val="none"/>
        </w:rPr>
        <w:t>%</w:t>
      </w:r>
      <w:r>
        <w:rPr>
          <w:rFonts w:hint="eastAsia" w:ascii="仿宋" w:hAnsi="仿宋" w:eastAsia="仿宋"/>
          <w:sz w:val="32"/>
          <w:szCs w:val="32"/>
          <w:highlight w:val="none"/>
        </w:rPr>
        <w:t>。具体情况如下：</w:t>
      </w:r>
    </w:p>
    <w:p>
      <w:pPr>
        <w:pStyle w:val="6"/>
        <w:rPr>
          <w:rFonts w:hint="eastAsia"/>
        </w:rPr>
      </w:pP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drawing>
          <wp:inline distT="0" distB="0" distL="0" distR="0">
            <wp:extent cx="4396740" cy="2145030"/>
            <wp:effectExtent l="4445" t="4445" r="18415" b="222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ascii="仿宋" w:hAnsi="仿宋" w:eastAsia="仿宋"/>
          <w:sz w:val="32"/>
          <w:szCs w:val="32"/>
          <w:highlight w:val="none"/>
        </w:rPr>
      </w:pPr>
      <w:r>
        <w:rPr>
          <w:rFonts w:hint="eastAsia" w:ascii="仿宋" w:hAnsi="仿宋" w:eastAsia="仿宋"/>
          <w:sz w:val="32"/>
          <w:szCs w:val="32"/>
          <w:highlight w:val="none"/>
        </w:rPr>
        <w:t>（图7：“三公”经费财政拨款支出结构）</w:t>
      </w:r>
    </w:p>
    <w:p>
      <w:pPr>
        <w:numPr>
          <w:ilvl w:val="0"/>
          <w:numId w:val="3"/>
        </w:numPr>
        <w:spacing w:line="600" w:lineRule="exact"/>
        <w:ind w:firstLine="640"/>
        <w:rPr>
          <w:rFonts w:hint="default" w:ascii="仿宋_GB2312" w:eastAsia="仿宋_GB2312"/>
          <w:sz w:val="32"/>
          <w:szCs w:val="32"/>
          <w:highlight w:val="none"/>
        </w:rPr>
      </w:pPr>
      <w:r>
        <w:rPr>
          <w:rFonts w:hint="eastAsia" w:ascii="仿宋_GB2312" w:eastAsia="仿宋_GB2312"/>
          <w:b/>
          <w:sz w:val="32"/>
          <w:szCs w:val="32"/>
          <w:highlight w:val="none"/>
        </w:rPr>
        <w:t>因公出国（境）经费支出</w:t>
      </w:r>
      <w:r>
        <w:rPr>
          <w:rFonts w:hint="eastAsia" w:ascii="仿宋_GB2312" w:eastAsia="仿宋_GB2312"/>
          <w:sz w:val="32"/>
          <w:szCs w:val="32"/>
          <w:highlight w:val="none"/>
        </w:rPr>
        <w:t>0万元，</w:t>
      </w:r>
      <w:r>
        <w:rPr>
          <w:rStyle w:val="17"/>
          <w:rFonts w:hint="eastAsia" w:ascii="仿宋" w:hAnsi="仿宋" w:eastAsia="仿宋"/>
          <w:b w:val="0"/>
          <w:bCs/>
          <w:sz w:val="32"/>
          <w:szCs w:val="32"/>
          <w:highlight w:val="none"/>
        </w:rPr>
        <w:t>完成预算0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，年初未安排预算。</w:t>
      </w:r>
      <w:r>
        <w:rPr>
          <w:rFonts w:hint="eastAsia" w:ascii="仿宋_GB2312" w:eastAsia="仿宋_GB2312"/>
          <w:sz w:val="32"/>
          <w:szCs w:val="32"/>
          <w:highlight w:val="none"/>
        </w:rPr>
        <w:t>全年安排因公出国（境）团组0次，出国（境）0人。因公出国（境）支出决算</w:t>
      </w:r>
      <w:r>
        <w:rPr>
          <w:rFonts w:hint="default" w:ascii="仿宋_GB2312" w:eastAsia="仿宋_GB2312"/>
          <w:sz w:val="32"/>
          <w:szCs w:val="32"/>
          <w:highlight w:val="none"/>
        </w:rPr>
        <w:t>与</w:t>
      </w:r>
      <w:r>
        <w:rPr>
          <w:rFonts w:ascii="仿宋_GB2312" w:eastAsia="仿宋_GB2312"/>
          <w:sz w:val="32"/>
          <w:szCs w:val="32"/>
          <w:highlight w:val="none"/>
        </w:rPr>
        <w:t>20</w:t>
      </w:r>
      <w:r>
        <w:rPr>
          <w:rFonts w:hint="eastAsia" w:ascii="仿宋_GB2312" w:eastAsia="仿宋_GB2312"/>
          <w:sz w:val="32"/>
          <w:szCs w:val="32"/>
          <w:highlight w:val="none"/>
        </w:rPr>
        <w:t>21年</w:t>
      </w:r>
      <w:r>
        <w:rPr>
          <w:rFonts w:hint="default" w:ascii="仿宋_GB2312" w:eastAsia="仿宋_GB2312"/>
          <w:sz w:val="32"/>
          <w:szCs w:val="32"/>
          <w:highlight w:val="none"/>
        </w:rPr>
        <w:t>无变化。</w:t>
      </w:r>
    </w:p>
    <w:p>
      <w:pPr>
        <w:numPr>
          <w:ilvl w:val="0"/>
          <w:numId w:val="0"/>
        </w:numPr>
        <w:spacing w:line="600" w:lineRule="exact"/>
        <w:ind w:firstLine="643" w:firstLineChars="20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hint="eastAsia" w:ascii="仿宋_GB2312" w:eastAsia="仿宋_GB2312"/>
          <w:sz w:val="32"/>
          <w:szCs w:val="32"/>
          <w:highlight w:val="none"/>
        </w:rPr>
        <w:t>0万元,</w:t>
      </w:r>
      <w:r>
        <w:rPr>
          <w:rStyle w:val="17"/>
          <w:rFonts w:hint="eastAsia" w:ascii="仿宋" w:hAnsi="仿宋" w:eastAsia="仿宋"/>
          <w:b w:val="0"/>
          <w:bCs/>
          <w:sz w:val="32"/>
          <w:szCs w:val="32"/>
          <w:highlight w:val="none"/>
        </w:rPr>
        <w:t>完成预算0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w:t>
      </w:r>
      <w:r>
        <w:rPr>
          <w:rFonts w:hint="default" w:ascii="仿宋_GB2312" w:eastAsia="仿宋_GB2312"/>
          <w:sz w:val="32"/>
          <w:szCs w:val="32"/>
          <w:highlight w:val="none"/>
        </w:rPr>
        <w:t>无变化</w:t>
      </w:r>
      <w:r>
        <w:rPr>
          <w:rFonts w:hint="eastAsia" w:ascii="仿宋_GB2312" w:eastAsia="仿宋_GB2312"/>
          <w:sz w:val="32"/>
          <w:szCs w:val="32"/>
          <w:highlight w:val="none"/>
        </w:rPr>
        <w:t>。</w:t>
      </w:r>
    </w:p>
    <w:p>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hint="eastAsia" w:ascii="仿宋_GB2312" w:eastAsia="仿宋_GB2312"/>
          <w:sz w:val="32"/>
          <w:szCs w:val="32"/>
          <w:highlight w:val="none"/>
        </w:rPr>
        <w:t>0万元。全年按规定更新购置公务用车0辆。截至</w:t>
      </w:r>
      <w:r>
        <w:rPr>
          <w:rFonts w:ascii="仿宋_GB2312" w:eastAsia="仿宋_GB2312"/>
          <w:sz w:val="32"/>
          <w:szCs w:val="32"/>
          <w:highlight w:val="none"/>
        </w:rPr>
        <w:t>20</w:t>
      </w:r>
      <w:r>
        <w:rPr>
          <w:rFonts w:hint="eastAsia" w:ascii="仿宋_GB2312" w:eastAsia="仿宋_GB2312"/>
          <w:sz w:val="32"/>
          <w:szCs w:val="32"/>
          <w:highlight w:val="none"/>
        </w:rPr>
        <w:t>22年</w:t>
      </w:r>
      <w:r>
        <w:rPr>
          <w:rFonts w:ascii="仿宋_GB2312" w:eastAsia="仿宋_GB2312"/>
          <w:sz w:val="32"/>
          <w:szCs w:val="32"/>
          <w:highlight w:val="none"/>
        </w:rPr>
        <w:t>12</w:t>
      </w:r>
      <w:r>
        <w:rPr>
          <w:rFonts w:hint="eastAsia" w:ascii="仿宋_GB2312" w:eastAsia="仿宋_GB2312"/>
          <w:sz w:val="32"/>
          <w:szCs w:val="32"/>
          <w:highlight w:val="none"/>
        </w:rPr>
        <w:t>月底，单位共有公务用车0辆。</w:t>
      </w:r>
    </w:p>
    <w:p>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hint="eastAsia" w:ascii="仿宋_GB2312" w:eastAsia="仿宋_GB2312"/>
          <w:sz w:val="32"/>
          <w:szCs w:val="32"/>
          <w:highlight w:val="none"/>
        </w:rPr>
        <w:t>0万元，无公务用车保有量，未发生费用支出。</w:t>
      </w:r>
    </w:p>
    <w:p>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_GB2312" w:eastAsia="仿宋_GB2312"/>
          <w:sz w:val="32"/>
          <w:szCs w:val="32"/>
          <w:highlight w:val="none"/>
        </w:rPr>
        <w:t>0.06万元，</w:t>
      </w:r>
      <w:r>
        <w:rPr>
          <w:rStyle w:val="17"/>
          <w:rFonts w:hint="eastAsia" w:ascii="仿宋" w:hAnsi="仿宋" w:eastAsia="仿宋"/>
          <w:b w:val="0"/>
          <w:bCs/>
          <w:sz w:val="32"/>
          <w:szCs w:val="32"/>
          <w:highlight w:val="none"/>
        </w:rPr>
        <w:t>完成预算100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w:t>
      </w:r>
      <w:r>
        <w:rPr>
          <w:rFonts w:ascii="仿宋_GB2312" w:eastAsia="仿宋_GB2312"/>
          <w:sz w:val="32"/>
          <w:szCs w:val="32"/>
          <w:highlight w:val="none"/>
        </w:rPr>
        <w:t>20</w:t>
      </w:r>
      <w:r>
        <w:rPr>
          <w:rFonts w:hint="eastAsia" w:ascii="仿宋_GB2312" w:eastAsia="仿宋_GB2312"/>
          <w:sz w:val="32"/>
          <w:szCs w:val="32"/>
          <w:highlight w:val="none"/>
        </w:rPr>
        <w:t>21年减少0.28万元，下降82.4</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厉行节约</w:t>
      </w:r>
      <w:r>
        <w:rPr>
          <w:rFonts w:hint="eastAsia" w:ascii="仿宋" w:hAnsi="仿宋" w:eastAsia="仿宋"/>
          <w:sz w:val="32"/>
          <w:szCs w:val="32"/>
          <w:highlight w:val="none"/>
        </w:rPr>
        <w:t>减少了支出</w:t>
      </w:r>
      <w:r>
        <w:rPr>
          <w:rFonts w:hint="eastAsia" w:ascii="仿宋_GB2312" w:eastAsia="仿宋_GB2312"/>
          <w:sz w:val="32"/>
          <w:szCs w:val="32"/>
          <w:highlight w:val="none"/>
        </w:rPr>
        <w:t>。其中：</w:t>
      </w:r>
    </w:p>
    <w:p>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sz w:val="32"/>
          <w:szCs w:val="32"/>
          <w:highlight w:val="none"/>
        </w:rPr>
        <w:t>0.06</w:t>
      </w:r>
      <w:r>
        <w:rPr>
          <w:rFonts w:hint="eastAsia" w:ascii="仿宋_GB2312" w:eastAsia="仿宋_GB2312"/>
          <w:sz w:val="32"/>
          <w:szCs w:val="32"/>
          <w:highlight w:val="none"/>
        </w:rPr>
        <w:t>万元，主要用于执行公务、开展业务活动开支的交通费、住宿费、用餐费等。国内公务接待1批次，5人次（不包括陪同人员），共计支出0.06万元，具体内容包括：餐费0.06万元。</w:t>
      </w:r>
    </w:p>
    <w:p>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hint="eastAsia" w:ascii="仿宋" w:hAnsi="仿宋" w:eastAsia="仿宋"/>
          <w:sz w:val="32"/>
          <w:szCs w:val="32"/>
          <w:highlight w:val="none"/>
        </w:rPr>
        <w:t>0</w:t>
      </w:r>
      <w:r>
        <w:rPr>
          <w:rFonts w:hint="eastAsia" w:ascii="仿宋_GB2312" w:eastAsia="仿宋_GB2312"/>
          <w:sz w:val="32"/>
          <w:szCs w:val="32"/>
          <w:highlight w:val="none"/>
        </w:rPr>
        <w:t>万元。外事接待0批次，0人次（不包括陪同人员），共计支出0万元。</w:t>
      </w:r>
    </w:p>
    <w:p>
      <w:pPr>
        <w:spacing w:line="600" w:lineRule="exact"/>
        <w:ind w:firstLine="640"/>
        <w:outlineLvl w:val="1"/>
        <w:rPr>
          <w:rStyle w:val="20"/>
          <w:rFonts w:ascii="黑体" w:hAnsi="黑体" w:eastAsia="黑体"/>
          <w:highlight w:val="none"/>
        </w:rPr>
      </w:pPr>
      <w:bookmarkStart w:id="124" w:name="_Toc15396610"/>
      <w:bookmarkStart w:id="125" w:name="_Toc20518"/>
      <w:bookmarkStart w:id="126" w:name="_Toc15377218"/>
      <w:bookmarkStart w:id="127" w:name="_Toc13871"/>
      <w:bookmarkStart w:id="128" w:name="_Toc4259"/>
      <w:r>
        <w:rPr>
          <w:rFonts w:hint="eastAsia" w:ascii="黑体" w:eastAsia="黑体"/>
          <w:sz w:val="32"/>
          <w:szCs w:val="32"/>
          <w:highlight w:val="none"/>
        </w:rPr>
        <w:t>八、</w:t>
      </w:r>
      <w:r>
        <w:rPr>
          <w:rStyle w:val="20"/>
          <w:rFonts w:hint="eastAsia" w:ascii="黑体" w:hAnsi="黑体" w:eastAsia="黑体"/>
          <w:b w:val="0"/>
          <w:highlight w:val="none"/>
        </w:rPr>
        <w:t>政府性基金预算支出决算情况说明</w:t>
      </w:r>
      <w:bookmarkEnd w:id="124"/>
      <w:bookmarkEnd w:id="125"/>
      <w:bookmarkEnd w:id="126"/>
      <w:bookmarkEnd w:id="127"/>
      <w:bookmarkEnd w:id="128"/>
    </w:p>
    <w:p>
      <w:pPr>
        <w:spacing w:line="600" w:lineRule="exact"/>
        <w:ind w:firstLine="64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22年政府性基金预算财政拨款支出0万元。</w:t>
      </w:r>
    </w:p>
    <w:p>
      <w:pPr>
        <w:numPr>
          <w:ilvl w:val="0"/>
          <w:numId w:val="4"/>
        </w:numPr>
        <w:spacing w:line="600" w:lineRule="exact"/>
        <w:ind w:firstLine="640"/>
        <w:outlineLvl w:val="1"/>
        <w:rPr>
          <w:rStyle w:val="20"/>
          <w:rFonts w:ascii="黑体" w:hAnsi="黑体" w:eastAsia="黑体"/>
          <w:b w:val="0"/>
          <w:highlight w:val="none"/>
        </w:rPr>
      </w:pPr>
      <w:bookmarkStart w:id="129" w:name="_Toc27273"/>
      <w:bookmarkStart w:id="130" w:name="_Toc15377219"/>
      <w:bookmarkStart w:id="131" w:name="_Toc15396611"/>
      <w:bookmarkStart w:id="132" w:name="_Toc1917"/>
      <w:bookmarkStart w:id="133" w:name="_Toc16805"/>
      <w:r>
        <w:rPr>
          <w:rStyle w:val="20"/>
          <w:rFonts w:hint="eastAsia" w:ascii="黑体" w:hAnsi="黑体" w:eastAsia="黑体"/>
          <w:b w:val="0"/>
          <w:highlight w:val="none"/>
        </w:rPr>
        <w:t>国有资本经营预算支出决算情况说明</w:t>
      </w:r>
      <w:bookmarkEnd w:id="129"/>
      <w:bookmarkEnd w:id="130"/>
      <w:bookmarkEnd w:id="131"/>
      <w:bookmarkEnd w:id="132"/>
      <w:bookmarkEnd w:id="133"/>
    </w:p>
    <w:p>
      <w:pPr>
        <w:spacing w:line="600" w:lineRule="exact"/>
        <w:ind w:firstLine="640"/>
        <w:rPr>
          <w:rFonts w:ascii="方正小标宋简体" w:hAnsi="方正小标宋简体" w:eastAsia="方正小标宋简体" w:cs="方正小标宋简体"/>
          <w:sz w:val="44"/>
          <w:szCs w:val="44"/>
          <w:highlight w:val="none"/>
        </w:rPr>
      </w:pPr>
      <w:r>
        <w:rPr>
          <w:rFonts w:ascii="仿宋_GB2312" w:eastAsia="仿宋_GB2312"/>
          <w:sz w:val="32"/>
          <w:szCs w:val="32"/>
          <w:highlight w:val="none"/>
        </w:rPr>
        <w:t>20</w:t>
      </w:r>
      <w:r>
        <w:rPr>
          <w:rFonts w:hint="eastAsia" w:ascii="仿宋_GB2312" w:eastAsia="仿宋_GB2312"/>
          <w:sz w:val="32"/>
          <w:szCs w:val="32"/>
          <w:highlight w:val="none"/>
        </w:rPr>
        <w:t>22年国有资本经营预算财政拨款支出0万元。</w:t>
      </w:r>
    </w:p>
    <w:p>
      <w:pPr>
        <w:numPr>
          <w:ilvl w:val="0"/>
          <w:numId w:val="4"/>
        </w:numPr>
        <w:spacing w:line="600" w:lineRule="exact"/>
        <w:ind w:firstLine="640"/>
        <w:outlineLvl w:val="1"/>
        <w:rPr>
          <w:rStyle w:val="20"/>
          <w:rFonts w:ascii="黑体" w:hAnsi="黑体" w:eastAsia="黑体"/>
          <w:b w:val="0"/>
          <w:highlight w:val="none"/>
        </w:rPr>
      </w:pPr>
      <w:bookmarkStart w:id="134" w:name="_Toc5235"/>
      <w:bookmarkStart w:id="135" w:name="_Toc27706"/>
      <w:bookmarkStart w:id="136" w:name="_Toc13223"/>
      <w:bookmarkStart w:id="137" w:name="_Toc15377221"/>
      <w:bookmarkStart w:id="138" w:name="_Toc15396612"/>
      <w:r>
        <w:rPr>
          <w:rStyle w:val="20"/>
          <w:rFonts w:hint="eastAsia" w:ascii="黑体" w:hAnsi="黑体" w:eastAsia="黑体"/>
          <w:b w:val="0"/>
          <w:highlight w:val="none"/>
        </w:rPr>
        <w:t>其他重要事项的情况说明</w:t>
      </w:r>
      <w:bookmarkEnd w:id="134"/>
      <w:bookmarkEnd w:id="135"/>
      <w:bookmarkEnd w:id="136"/>
      <w:bookmarkEnd w:id="137"/>
      <w:bookmarkEnd w:id="138"/>
    </w:p>
    <w:p>
      <w:pPr>
        <w:spacing w:line="600" w:lineRule="exact"/>
        <w:ind w:firstLine="643" w:firstLineChars="200"/>
        <w:outlineLvl w:val="2"/>
        <w:rPr>
          <w:rFonts w:ascii="仿宋" w:hAnsi="仿宋" w:eastAsia="仿宋"/>
          <w:sz w:val="32"/>
          <w:szCs w:val="32"/>
          <w:highlight w:val="none"/>
        </w:rPr>
      </w:pPr>
      <w:bookmarkStart w:id="139" w:name="_Toc15377222"/>
      <w:r>
        <w:rPr>
          <w:rFonts w:hint="eastAsia" w:ascii="仿宋" w:hAnsi="仿宋" w:eastAsia="仿宋"/>
          <w:b/>
          <w:sz w:val="32"/>
          <w:szCs w:val="32"/>
          <w:highlight w:val="none"/>
        </w:rPr>
        <w:t>（一）机关运行经费支出情况</w:t>
      </w:r>
      <w:bookmarkEnd w:id="139"/>
    </w:p>
    <w:p>
      <w:pPr>
        <w:spacing w:line="600" w:lineRule="exact"/>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22年，广元市农民工服务中心机关运行经费支出27.28万元，比</w:t>
      </w:r>
      <w:r>
        <w:rPr>
          <w:rFonts w:ascii="仿宋_GB2312" w:eastAsia="仿宋_GB2312"/>
          <w:sz w:val="32"/>
          <w:szCs w:val="32"/>
          <w:highlight w:val="none"/>
        </w:rPr>
        <w:t>20</w:t>
      </w:r>
      <w:r>
        <w:rPr>
          <w:rFonts w:hint="eastAsia" w:ascii="仿宋_GB2312" w:eastAsia="仿宋_GB2312"/>
          <w:sz w:val="32"/>
          <w:szCs w:val="32"/>
          <w:highlight w:val="none"/>
        </w:rPr>
        <w:t>21年增加4.83万元，增长21.5</w:t>
      </w:r>
      <w:r>
        <w:rPr>
          <w:rFonts w:ascii="仿宋_GB2312" w:eastAsia="仿宋_GB2312"/>
          <w:sz w:val="32"/>
          <w:szCs w:val="32"/>
          <w:highlight w:val="none"/>
        </w:rPr>
        <w:t>%</w:t>
      </w:r>
      <w:r>
        <w:rPr>
          <w:rFonts w:hint="eastAsia" w:ascii="仿宋_GB2312" w:eastAsia="仿宋_GB2312"/>
          <w:sz w:val="32"/>
          <w:szCs w:val="32"/>
          <w:highlight w:val="none"/>
        </w:rPr>
        <w:t>。主要原因是疫情放开，工作回到正常状态，工作量增加造成费用增加。</w:t>
      </w:r>
      <w:bookmarkStart w:id="140" w:name="_Toc15377223"/>
    </w:p>
    <w:p>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（二）政府采购支出情况</w:t>
      </w:r>
      <w:bookmarkEnd w:id="140"/>
    </w:p>
    <w:p>
      <w:pPr>
        <w:spacing w:line="600" w:lineRule="exact"/>
        <w:ind w:firstLine="640" w:firstLineChars="200"/>
        <w:rPr>
          <w:rFonts w:hint="default"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22年，广元市农民工服务中心政府采购支出总额0万元</w:t>
      </w:r>
      <w:r>
        <w:rPr>
          <w:rFonts w:hint="default" w:ascii="仿宋_GB2312" w:eastAsia="仿宋_GB2312"/>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141" w:name="_Toc15377224"/>
      <w:r>
        <w:rPr>
          <w:rFonts w:hint="eastAsia" w:ascii="仿宋" w:hAnsi="仿宋" w:eastAsia="仿宋"/>
          <w:b/>
          <w:sz w:val="32"/>
          <w:szCs w:val="32"/>
          <w:highlight w:val="none"/>
        </w:rPr>
        <w:t>（三）国有资产占有使用情况</w:t>
      </w:r>
      <w:bookmarkEnd w:id="141"/>
    </w:p>
    <w:p>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w:t>
      </w:r>
      <w:r>
        <w:rPr>
          <w:rFonts w:ascii="仿宋_GB2312" w:eastAsia="仿宋_GB2312"/>
          <w:sz w:val="32"/>
          <w:szCs w:val="32"/>
          <w:highlight w:val="none"/>
        </w:rPr>
        <w:t>20</w:t>
      </w:r>
      <w:r>
        <w:rPr>
          <w:rFonts w:hint="eastAsia" w:ascii="仿宋_GB2312" w:eastAsia="仿宋_GB2312"/>
          <w:sz w:val="32"/>
          <w:szCs w:val="32"/>
          <w:highlight w:val="none"/>
        </w:rPr>
        <w:t>22年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日，广元市农民工服务中心共有车辆0辆，无公务用车保有量单价</w:t>
      </w:r>
      <w:r>
        <w:rPr>
          <w:rFonts w:ascii="仿宋_GB2312" w:eastAsia="仿宋_GB2312"/>
          <w:sz w:val="32"/>
          <w:szCs w:val="32"/>
          <w:highlight w:val="none"/>
        </w:rPr>
        <w:t>100</w:t>
      </w:r>
      <w:r>
        <w:rPr>
          <w:rFonts w:hint="eastAsia" w:ascii="仿宋_GB2312" w:eastAsia="仿宋_GB2312"/>
          <w:sz w:val="32"/>
          <w:szCs w:val="32"/>
          <w:highlight w:val="none"/>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pPr>
        <w:pStyle w:val="6"/>
        <w:ind w:firstLine="640" w:firstLineChars="200"/>
        <w:rPr>
          <w:rFonts w:hint="eastAsia" w:ascii="仿宋_GB2312" w:hAnsi="仿宋_GB2312" w:eastAsia="仿宋_GB2312" w:cs="仿宋_GB2312"/>
          <w:color w:val="auto"/>
          <w:sz w:val="32"/>
          <w:szCs w:val="32"/>
          <w:highlight w:val="none"/>
        </w:rPr>
      </w:pPr>
      <w:r>
        <w:rPr>
          <w:rFonts w:hint="eastAsia"/>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autoSpaceDE w:val="0"/>
        <w:autoSpaceDN w:val="0"/>
        <w:adjustRightInd w:val="0"/>
        <w:spacing w:line="600" w:lineRule="exact"/>
        <w:jc w:val="left"/>
        <w:rPr>
          <w:rFonts w:hint="eastAsia" w:ascii="仿宋_GB2312" w:eastAsia="仿宋_GB2312"/>
          <w:sz w:val="32"/>
          <w:szCs w:val="32"/>
          <w:highlight w:val="none"/>
        </w:rPr>
      </w:pPr>
    </w:p>
    <w:p>
      <w:pPr>
        <w:pStyle w:val="6"/>
        <w:rPr>
          <w:rFonts w:hint="eastAsia" w:ascii="仿宋_GB2312" w:eastAsia="仿宋_GB2312"/>
          <w:sz w:val="32"/>
          <w:szCs w:val="32"/>
          <w:highlight w:val="none"/>
        </w:rPr>
      </w:pPr>
    </w:p>
    <w:p>
      <w:pPr>
        <w:pStyle w:val="6"/>
        <w:rPr>
          <w:rFonts w:hint="eastAsia" w:ascii="仿宋_GB2312" w:eastAsia="仿宋_GB2312"/>
          <w:sz w:val="32"/>
          <w:szCs w:val="32"/>
          <w:highlight w:val="none"/>
        </w:rPr>
      </w:pPr>
    </w:p>
    <w:p>
      <w:pPr>
        <w:rPr>
          <w:rStyle w:val="19"/>
          <w:rFonts w:ascii="黑体" w:hAnsi="黑体" w:eastAsia="黑体"/>
          <w:b w:val="0"/>
          <w:highlight w:val="none"/>
        </w:rPr>
      </w:pPr>
      <w:bookmarkStart w:id="142" w:name="_Toc15377225"/>
      <w:bookmarkStart w:id="143" w:name="_Toc3283"/>
      <w:bookmarkStart w:id="144" w:name="_Toc15396613"/>
      <w:bookmarkStart w:id="145" w:name="_Toc9449"/>
      <w:bookmarkStart w:id="146" w:name="_Toc19176"/>
      <w:r>
        <w:rPr>
          <w:rFonts w:hint="eastAsia" w:ascii="黑体" w:hAnsi="黑体" w:eastAsia="黑体"/>
          <w:sz w:val="44"/>
          <w:szCs w:val="44"/>
          <w:highlight w:val="none"/>
        </w:rPr>
        <w:br w:type="page"/>
      </w:r>
    </w:p>
    <w:p>
      <w:pPr>
        <w:numPr>
          <w:ilvl w:val="0"/>
          <w:numId w:val="5"/>
        </w:numPr>
        <w:spacing w:line="600" w:lineRule="exact"/>
        <w:ind w:firstLine="660" w:firstLineChars="150"/>
        <w:jc w:val="center"/>
        <w:outlineLvl w:val="0"/>
        <w:rPr>
          <w:rStyle w:val="19"/>
          <w:rFonts w:ascii="黑体" w:hAnsi="黑体" w:eastAsia="黑体"/>
          <w:b w:val="0"/>
          <w:highlight w:val="none"/>
        </w:rPr>
      </w:pPr>
      <w:r>
        <w:rPr>
          <w:rFonts w:hint="eastAsia" w:ascii="黑体" w:hAnsi="黑体" w:eastAsia="黑体"/>
          <w:sz w:val="44"/>
          <w:szCs w:val="44"/>
          <w:highlight w:val="none"/>
        </w:rPr>
        <w:t>名</w:t>
      </w:r>
      <w:r>
        <w:rPr>
          <w:rStyle w:val="19"/>
          <w:rFonts w:hint="eastAsia" w:ascii="黑体" w:hAnsi="黑体" w:eastAsia="黑体"/>
          <w:b w:val="0"/>
          <w:highlight w:val="none"/>
        </w:rPr>
        <w:t>词解释</w:t>
      </w:r>
      <w:bookmarkEnd w:id="142"/>
      <w:bookmarkEnd w:id="143"/>
      <w:bookmarkEnd w:id="144"/>
      <w:bookmarkEnd w:id="145"/>
      <w:bookmarkEnd w:id="146"/>
    </w:p>
    <w:p>
      <w:pPr>
        <w:spacing w:line="600" w:lineRule="exact"/>
        <w:jc w:val="left"/>
        <w:rPr>
          <w:rFonts w:ascii="宋体"/>
          <w:b/>
          <w:sz w:val="44"/>
          <w:szCs w:val="44"/>
          <w:highlight w:val="none"/>
        </w:rPr>
      </w:pPr>
    </w:p>
    <w:p>
      <w:pPr>
        <w:pStyle w:val="28"/>
        <w:spacing w:line="560" w:lineRule="exact"/>
        <w:ind w:firstLine="640" w:firstLineChars="200"/>
        <w:outlineLvl w:val="1"/>
        <w:rPr>
          <w:rFonts w:ascii="仿宋_GB2312" w:eastAsia="仿宋_GB2312"/>
          <w:color w:val="auto"/>
          <w:sz w:val="32"/>
          <w:szCs w:val="32"/>
          <w:highlight w:val="none"/>
        </w:rPr>
      </w:pPr>
      <w:bookmarkStart w:id="147" w:name="_Toc12192"/>
      <w:bookmarkStart w:id="148" w:name="_Toc32393"/>
      <w:bookmarkStart w:id="149" w:name="_Toc27392"/>
      <w:bookmarkStart w:id="150" w:name="_Toc31191"/>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147"/>
      <w:bookmarkEnd w:id="148"/>
      <w:bookmarkEnd w:id="149"/>
      <w:bookmarkEnd w:id="150"/>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年初结转和结余：指以前年度尚未完成、结转到本年按有关规定继续使用的资金。</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3.年末结转和结余：指单位按有关规定结转到下年或以后年度继续使用的资金。</w:t>
      </w:r>
    </w:p>
    <w:p>
      <w:pPr>
        <w:ind w:firstLine="640" w:firstLineChars="200"/>
        <w:rPr>
          <w:rFonts w:hint="eastAsia" w:ascii="仿宋_GB2312" w:hAnsi="Calibri" w:eastAsia="仿宋_GB2312" w:cs="仿宋"/>
          <w:kern w:val="0"/>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hAnsi="Calibri" w:eastAsia="仿宋_GB2312" w:cs="仿宋"/>
          <w:kern w:val="0"/>
          <w:sz w:val="32"/>
          <w:szCs w:val="32"/>
          <w:highlight w:val="none"/>
        </w:rPr>
        <w:t>社会保障和就业支出（类）人力资源和社会保障管理事务（款）综合业务管理（项）：反映开展农民工服务方面工作的支出。</w:t>
      </w:r>
    </w:p>
    <w:p>
      <w:pPr>
        <w:ind w:firstLine="640" w:firstLineChars="200"/>
        <w:rPr>
          <w:rFonts w:hint="eastAsia" w:ascii="仿宋_GB2312" w:hAnsi="Calibri" w:eastAsia="仿宋_GB2312" w:cs="仿宋"/>
          <w:kern w:val="0"/>
          <w:sz w:val="32"/>
          <w:szCs w:val="32"/>
          <w:highlight w:val="none"/>
        </w:rPr>
      </w:pPr>
      <w:r>
        <w:rPr>
          <w:rFonts w:hint="eastAsia" w:ascii="仿宋_GB2312" w:eastAsia="仿宋_GB2312"/>
          <w:sz w:val="32"/>
          <w:szCs w:val="32"/>
          <w:highlight w:val="none"/>
        </w:rPr>
        <w:t>5</w:t>
      </w:r>
      <w:r>
        <w:rPr>
          <w:rFonts w:ascii="仿宋_GB2312" w:eastAsia="仿宋_GB2312"/>
          <w:sz w:val="32"/>
          <w:szCs w:val="32"/>
          <w:highlight w:val="none"/>
        </w:rPr>
        <w:t>.</w:t>
      </w:r>
      <w:r>
        <w:rPr>
          <w:rFonts w:hint="eastAsia" w:ascii="仿宋_GB2312" w:hAnsi="Calibri" w:eastAsia="仿宋_GB2312" w:cs="仿宋"/>
          <w:kern w:val="0"/>
          <w:sz w:val="32"/>
          <w:szCs w:val="32"/>
          <w:highlight w:val="none"/>
        </w:rPr>
        <w:t>社会保障和就业支出（类）人力资源和社会保障管理事务（款）社会保险业务管理事务（项）：反映社会保险业务管理和基金监督方面的支出。</w:t>
      </w:r>
    </w:p>
    <w:p>
      <w:pPr>
        <w:ind w:firstLine="640" w:firstLineChars="20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rPr>
        <w:t>6</w:t>
      </w:r>
      <w:r>
        <w:rPr>
          <w:rFonts w:ascii="仿宋_GB2312" w:hAnsi="Calibri" w:eastAsia="仿宋_GB2312" w:cs="仿宋"/>
          <w:kern w:val="0"/>
          <w:sz w:val="32"/>
          <w:szCs w:val="32"/>
          <w:highlight w:val="none"/>
        </w:rPr>
        <w:t>.社会保障和就业支出（类）行政事业单位养老支出（款）机关事业单位基本养老保险缴费支出（项）：反映机关事业单位实施养老保险制度由单位缴纳的基本养老保险费支出。</w:t>
      </w:r>
    </w:p>
    <w:p>
      <w:pPr>
        <w:ind w:firstLine="640" w:firstLineChars="20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7.卫生健康支出（类）行政事业单位医疗（款）事业单位医疗（项）:反映财政部门集中安排的事业单位基本医疗保险缴费经费，未参加医疗保险的事业单位公费医疗经费，按国家规定享受离退休人员待遇的医疗经费。</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8.住房保障支出（类）住房改革支出（款）住房公积金（项）:反映行政事业单位按人力资源和社会保障部、财政部规定的基本工资和津贴补贴以及规定比例为职工缴纳的住房公积金。</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9.基本支出：指为保障机构正常运转、完成日常工作任务而发生的人员支出和公用支出。</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 xml:space="preserve">10.项目支出：指在基本支出之外为完成特定行政任务和事业发展目标所发生的支出。 </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jc w:val="both"/>
        <w:outlineLvl w:val="0"/>
        <w:rPr>
          <w:rStyle w:val="19"/>
          <w:rFonts w:ascii="黑体" w:hAnsi="黑体" w:eastAsia="黑体"/>
          <w:b w:val="0"/>
          <w:color w:val="auto"/>
          <w:highlight w:val="none"/>
        </w:rPr>
      </w:pPr>
      <w:bookmarkStart w:id="151" w:name="_Toc12049"/>
      <w:bookmarkStart w:id="152" w:name="_Toc3096"/>
      <w:r>
        <w:rPr>
          <w:rFonts w:ascii="仿宋_GB2312" w:hAnsi="Calibri" w:eastAsia="仿宋_GB2312" w:cs="仿宋"/>
          <w:kern w:val="0"/>
          <w:sz w:val="32"/>
          <w:szCs w:val="32"/>
          <w:highlight w:val="none"/>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53" w:name="_Toc15377226"/>
      <w:r>
        <w:rPr>
          <w:rFonts w:hint="eastAsia" w:ascii="仿宋_GB2312" w:hAnsi="Calibri" w:eastAsia="仿宋_GB2312" w:cs="仿宋"/>
          <w:kern w:val="0"/>
          <w:sz w:val="32"/>
          <w:szCs w:val="32"/>
          <w:highlight w:val="none"/>
          <w:lang w:val="en-US" w:eastAsia="zh-CN"/>
        </w:rPr>
        <w:t>.</w:t>
      </w:r>
      <w:r>
        <w:rPr>
          <w:rFonts w:ascii="宋体"/>
          <w:b/>
          <w:sz w:val="44"/>
          <w:szCs w:val="44"/>
          <w:highlight w:val="none"/>
        </w:rPr>
        <w:br w:type="page"/>
      </w:r>
      <w:bookmarkEnd w:id="151"/>
      <w:bookmarkEnd w:id="152"/>
      <w:bookmarkStart w:id="154" w:name="_Toc10129"/>
      <w:bookmarkStart w:id="155" w:name="_Toc15396618"/>
    </w:p>
    <w:bookmarkEnd w:id="154"/>
    <w:p>
      <w:pPr>
        <w:numPr>
          <w:ilvl w:val="0"/>
          <w:numId w:val="5"/>
        </w:numPr>
        <w:spacing w:line="600" w:lineRule="exact"/>
        <w:ind w:firstLine="660" w:firstLineChars="150"/>
        <w:jc w:val="center"/>
        <w:outlineLvl w:val="0"/>
        <w:rPr>
          <w:rFonts w:hint="default" w:ascii="黑体" w:hAnsi="黑体" w:eastAsia="黑体"/>
          <w:sz w:val="44"/>
          <w:szCs w:val="44"/>
          <w:highlight w:val="none"/>
          <w:lang w:val="en-US" w:eastAsia="zh-CN"/>
        </w:rPr>
      </w:pPr>
      <w:bookmarkStart w:id="156" w:name="_Toc19432"/>
      <w:bookmarkStart w:id="157" w:name="_Toc15396614"/>
      <w:r>
        <w:rPr>
          <w:rFonts w:hint="eastAsia" w:ascii="黑体" w:hAnsi="黑体" w:eastAsia="黑体"/>
          <w:sz w:val="44"/>
          <w:szCs w:val="44"/>
          <w:highlight w:val="none"/>
        </w:rPr>
        <w:t>附件</w:t>
      </w:r>
      <w:bookmarkEnd w:id="156"/>
      <w:bookmarkEnd w:id="157"/>
    </w:p>
    <w:p>
      <w:pPr>
        <w:pStyle w:val="6"/>
        <w:spacing w:before="93"/>
        <w:rPr>
          <w:rFonts w:hAnsi="Calibri" w:cs="仿宋"/>
          <w:sz w:val="32"/>
          <w:szCs w:val="32"/>
          <w:highlight w:val="none"/>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76"/>
        <w:gridCol w:w="898"/>
        <w:gridCol w:w="1206"/>
        <w:gridCol w:w="402"/>
        <w:gridCol w:w="828"/>
        <w:gridCol w:w="397"/>
        <w:gridCol w:w="854"/>
        <w:gridCol w:w="576"/>
        <w:gridCol w:w="576"/>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严格执行相关政策，保障工资及时发放、足额发放，预算编制科学合理，没有结余资金，保障了职工的正常生活。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145.39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232.33</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145.39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232.33</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没有问题.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继续严格执行相关政策，保障工资及时发放、足额发放，预算编制科学合理，没有结余资金，保障了职工的正常生活和日常运转。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严格执行相关政策，保障工资及时发放、足额发放，预算编制科学合理，没有结余资金，保障了职工的正常生活。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继续严格执行相关政策，保障工资及时发放、足额发放，预算编制科学合理.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51000021Y000000011490-定额公用经费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保障单位日常运转，提高预算编制质量，严格执行预算，公务费全年无超标现象发生.完成非常好！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继续保障单位日常运转，提高预算编制质量，严格执行预算.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保障单位日常运转，提高预算编制质量，严格执行预算，公务费全年无超标现象发生.完成非常好！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没有问题.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继续保障单位日常运转，提高预算编制质量，严格执行预算.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严格执行相关政策，保障工资及时发放、足额发放，预算编制科学合理，没有结余资金，保障了退休人员的正常生活 .</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kern w:val="2"/>
                <w:sz w:val="16"/>
                <w:szCs w:val="16"/>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cs="宋体"/>
                <w:i w:val="0"/>
                <w:color w:val="000000"/>
                <w:sz w:val="18"/>
                <w:szCs w:val="18"/>
                <w:highlight w:val="none"/>
                <w:u w:val="none"/>
                <w:lang w:val="en-US" w:eastAsia="zh-CN"/>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足额保障率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cs="宋体"/>
                <w:i w:val="0"/>
                <w:color w:val="000000"/>
                <w:sz w:val="18"/>
                <w:szCs w:val="18"/>
                <w:highlight w:val="none"/>
                <w:u w:val="none"/>
                <w:lang w:val="en-US" w:eastAsia="zh-CN"/>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按时发放率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cs="宋体"/>
                <w:i w:val="0"/>
                <w:color w:val="000000"/>
                <w:sz w:val="18"/>
                <w:szCs w:val="18"/>
                <w:highlight w:val="none"/>
                <w:u w:val="none"/>
                <w:lang w:val="en-US" w:eastAsia="zh-CN"/>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cs="宋体"/>
                <w:i w:val="0"/>
                <w:color w:val="000000"/>
                <w:sz w:val="18"/>
                <w:szCs w:val="18"/>
                <w:highlight w:val="none"/>
                <w:u w:val="none"/>
                <w:lang w:val="en-US" w:eastAsia="zh-CN"/>
              </w:rPr>
              <w:t>22.5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51080021T000000053260-农民工服务保障专项经费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工服务保障经费，是发挥农民工在外务工的主动性和积极的重要保障经费，是维护农民工在外务工的安全性的重要保障经费，2022年农民工服务保障经费发挥了重要作用，总体运行平稳，发布信息质量良好，切实发挥农民工服务服务平台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保障农民工服务专项经费</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47000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增加农民工幸福感</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36</w:t>
            </w:r>
            <w:r>
              <w:rPr>
                <w:rFonts w:hint="eastAsia" w:ascii="宋体" w:hAnsi="宋体" w:cs="宋体"/>
                <w:i w:val="0"/>
                <w:iCs w:val="0"/>
                <w:color w:val="000000"/>
                <w:kern w:val="0"/>
                <w:sz w:val="16"/>
                <w:szCs w:val="16"/>
                <w:u w:val="none"/>
                <w:lang w:val="en-US" w:eastAsia="zh-CN" w:bidi="ar"/>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农民工满意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2022年全市农民工到达300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广元籍农民工外出务工人员众多，全市外出务工人员96万人，在各片区管理上还存在人企对接精细化不够，人岗匹配度不高，难以满足所有外出务工农民工的需要。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适当增加和保持原有经费预算，确实增加广元籍外出务工人员的幸福感.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51080021T000000053270-驻省外农民工工作站奖补经费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发挥驻外农民工工作站协调服务作用，建立工作激励机制，构建技能培训、就业、维权“三位一体”工作机制，协调当地人社部门做好广元籍在外务工人员就业维权服务工作。</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发挥驻外农民工工作站协调服务作用，建立工作激励机制，构建技能培训、就业、维权“三位一体”工作机制，协调当地人社部门做好广元籍在外务工人员就业维权服务工作。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充分发挥驻外农民工工作站协调服务作用，建立工作激励机制，构建就业、培训、关爱、维权“四位一体”服务机制，协同当地人社部门和务工企业，做好广元籍在外农民工服务保障，帮助解决实际困难问题。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奖励补助驻外农民工工作站经费</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强化农民工服务管理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增加农民工幸福感、安全感</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充分发挥驻外农民工工作站协调服务作用，建立工作激励机制，构建就业、培训、关爱、维权“四位一体”服务机制，协同当地人社部门和务工企业，做好广元籍在外农民工服务保障，帮助解决实际困难问题。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广元籍农民工外出务工人员众多，全市外出务工人员96万人，在各片区管理上还存在人企对接精细化不够，人岗匹配度不高，难以满足所有外出务工农民工的需要。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适当增加和保持原有经费预算，确实增加广元籍外出务工人员的幸福感。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51080022T000006892772-就业创业补助资金市级配套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广元市人力资源和社会保障局部门</w:t>
            </w:r>
          </w:p>
        </w:tc>
        <w:tc>
          <w:tcPr>
            <w:tcW w:w="5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就业创业补助资金市级配套资金，是实施“川字号”特色劳务品牌培育创建行动；推广应用首批“川字号”特色劳务品牌的重要资金，用于培养农民工特色产品的重要内容。</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就业创业补助资金市级配套资金，是实施“川字号”特色劳务品牌培育创建行动；推广应用首批“川字号”特色劳务品牌的重要资金，用于培养农民工特色产品的重要内容。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实施“川字号”特色劳务品牌培育创建行动；推广应用首批“川字号”特色劳务品牌1个，培育创建地方特色劳务品牌2个.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推广应用首批“川字号”特色劳务品牌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培育创建地方特色劳务品牌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“川字号”特色劳务品牌培育创建行动</w:t>
            </w:r>
            <w:r>
              <w:rPr>
                <w:rFonts w:hint="eastAsia" w:ascii="宋体" w:hAnsi="宋体" w:cs="宋体"/>
                <w:i w:val="0"/>
                <w:iCs w:val="0"/>
                <w:color w:val="000000"/>
                <w:kern w:val="0"/>
                <w:sz w:val="18"/>
                <w:szCs w:val="18"/>
                <w:u w:val="none"/>
                <w:lang w:val="en-US" w:eastAsia="zh-CN" w:bidi="ar"/>
              </w:rPr>
              <w:t>成本</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万元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完成时间</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u w:val="none"/>
                <w:lang w:val="en-US" w:eastAsia="zh-CN" w:bidi="ar"/>
              </w:rPr>
              <w:t>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ascii="宋体" w:hAnsi="宋体" w:eastAsia="宋体" w:cs="宋体"/>
                <w:i w:val="0"/>
                <w:iCs w:val="0"/>
                <w:color w:val="000000"/>
                <w:kern w:val="0"/>
                <w:sz w:val="18"/>
                <w:szCs w:val="18"/>
                <w:u w:val="none"/>
                <w:lang w:val="en-US" w:eastAsia="zh-CN" w:bidi="ar"/>
              </w:rPr>
              <w:t>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2"/>
                <w:sz w:val="16"/>
                <w:szCs w:val="16"/>
                <w:highlight w:val="none"/>
                <w:u w:val="none"/>
                <w:lang w:val="en-US" w:eastAsia="zh-CN" w:bidi="ar-SA"/>
              </w:rPr>
            </w:pPr>
            <w:r>
              <w:rPr>
                <w:rFonts w:hint="eastAsia" w:ascii="宋体" w:hAnsi="宋体" w:cs="宋体"/>
                <w:i w:val="0"/>
                <w:iCs w:val="0"/>
                <w:color w:val="000000"/>
                <w:kern w:val="0"/>
                <w:sz w:val="18"/>
                <w:szCs w:val="18"/>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满意度指标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服务对象满意度指标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99</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2"/>
                <w:sz w:val="16"/>
                <w:szCs w:val="16"/>
                <w:highlight w:val="none"/>
                <w:u w:val="none"/>
                <w:lang w:val="en-US" w:eastAsia="zh-CN" w:bidi="ar-SA"/>
              </w:rPr>
            </w:pPr>
            <w:r>
              <w:rPr>
                <w:rFonts w:hint="eastAsia" w:ascii="等线" w:hAnsi="等线" w:eastAsia="等线" w:cs="等线"/>
                <w:i w:val="0"/>
                <w:iCs w:val="0"/>
                <w:color w:val="000000"/>
                <w:kern w:val="0"/>
                <w:sz w:val="18"/>
                <w:szCs w:val="18"/>
                <w:u w:val="none"/>
                <w:lang w:val="en-US" w:eastAsia="zh-CN" w:bidi="ar"/>
              </w:rPr>
              <w:t>99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就业创业补助资金市级配套资金的使用，对广元市籍农民工返乡创业投资创造了条件；维护来农民工的利益，传递</w:t>
            </w:r>
            <w:r>
              <w:rPr>
                <w:rFonts w:hint="eastAsia" w:ascii="宋体" w:hAnsi="宋体" w:cs="宋体"/>
                <w:i w:val="0"/>
                <w:iCs w:val="0"/>
                <w:color w:val="000000"/>
                <w:kern w:val="0"/>
                <w:sz w:val="16"/>
                <w:szCs w:val="16"/>
                <w:u w:val="none"/>
                <w:lang w:val="en-US" w:eastAsia="zh-CN" w:bidi="ar"/>
              </w:rPr>
              <w:t>市委、市政府</w:t>
            </w:r>
            <w:r>
              <w:rPr>
                <w:rFonts w:hint="eastAsia" w:ascii="宋体" w:hAnsi="宋体" w:eastAsia="宋体" w:cs="宋体"/>
                <w:i w:val="0"/>
                <w:iCs w:val="0"/>
                <w:color w:val="000000"/>
                <w:kern w:val="0"/>
                <w:sz w:val="16"/>
                <w:szCs w:val="16"/>
                <w:u w:val="none"/>
                <w:lang w:val="en-US" w:eastAsia="zh-CN" w:bidi="ar"/>
              </w:rPr>
              <w:t>对农民工的关心关爱，促进了就业，维护了社会稳定。服务对象满意度：全市外出务工96万农民工满意度100%。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此资金只有一年，对于返乡创业的农民工来说，要创建劳务品牌资金使用不够，广元籍农民工外出务工人员众多，全市外出务工人员96万人，他们在外挣钱后想返乡创业还是很困难。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适当增加经费预算，确实增加广元籍外出务工人员的幸福感。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r>
              <w:rPr>
                <w:rFonts w:hint="eastAsia" w:ascii="宋体" w:hAnsi="宋体" w:cs="宋体"/>
                <w:i w:val="0"/>
                <w:iCs w:val="0"/>
                <w:color w:val="000000"/>
                <w:kern w:val="0"/>
                <w:sz w:val="18"/>
                <w:szCs w:val="18"/>
                <w:u w:val="none"/>
                <w:lang w:val="en-US" w:eastAsia="zh-CN" w:bidi="ar"/>
              </w:rPr>
              <w:t>甘兴伟</w:t>
            </w:r>
          </w:p>
        </w:tc>
        <w:tc>
          <w:tcPr>
            <w:tcW w:w="25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pStyle w:val="6"/>
        <w:spacing w:before="93"/>
        <w:rPr>
          <w:rFonts w:hAnsi="Calibri" w:cs="仿宋"/>
          <w:sz w:val="32"/>
          <w:szCs w:val="32"/>
          <w:highlight w:val="none"/>
        </w:rPr>
      </w:pPr>
    </w:p>
    <w:p>
      <w:pPr>
        <w:spacing w:line="600" w:lineRule="exact"/>
        <w:jc w:val="center"/>
        <w:outlineLvl w:val="9"/>
        <w:rPr>
          <w:rFonts w:hint="eastAsia" w:ascii="黑体" w:hAnsi="黑体" w:eastAsia="黑体"/>
          <w:sz w:val="44"/>
          <w:szCs w:val="44"/>
          <w:highlight w:val="none"/>
        </w:rPr>
      </w:pPr>
      <w:bookmarkStart w:id="158" w:name="_Toc20695"/>
    </w:p>
    <w:p>
      <w:pPr>
        <w:spacing w:line="600" w:lineRule="exact"/>
        <w:jc w:val="center"/>
        <w:outlineLvl w:val="9"/>
        <w:rPr>
          <w:rFonts w:hint="eastAsia" w:ascii="黑体" w:hAnsi="黑体" w:eastAsia="黑体"/>
          <w:sz w:val="44"/>
          <w:szCs w:val="44"/>
          <w:highlight w:val="none"/>
        </w:rPr>
      </w:pPr>
    </w:p>
    <w:p>
      <w:pPr>
        <w:rPr>
          <w:rFonts w:hint="eastAsia" w:ascii="黑体" w:hAnsi="黑体" w:eastAsia="黑体"/>
          <w:sz w:val="44"/>
          <w:szCs w:val="44"/>
          <w:highlight w:val="none"/>
        </w:rPr>
      </w:pPr>
      <w:bookmarkStart w:id="159" w:name="_Toc19438"/>
      <w:bookmarkStart w:id="160" w:name="_Toc27554"/>
      <w:r>
        <w:rPr>
          <w:rFonts w:hint="eastAsia" w:ascii="黑体" w:hAnsi="黑体" w:eastAsia="黑体"/>
          <w:sz w:val="44"/>
          <w:szCs w:val="44"/>
          <w:highlight w:val="none"/>
        </w:rPr>
        <w:br w:type="page"/>
      </w:r>
    </w:p>
    <w:p>
      <w:pPr>
        <w:spacing w:line="600" w:lineRule="exact"/>
        <w:jc w:val="center"/>
        <w:outlineLvl w:val="0"/>
        <w:rPr>
          <w:rFonts w:ascii="仿宋" w:hAnsi="仿宋" w:eastAsia="仿宋"/>
          <w:highlight w:val="none"/>
        </w:rPr>
      </w:pPr>
      <w:r>
        <w:rPr>
          <w:rFonts w:hint="eastAsia" w:ascii="黑体" w:hAnsi="黑体" w:eastAsia="黑体"/>
          <w:sz w:val="44"/>
          <w:szCs w:val="44"/>
          <w:highlight w:val="none"/>
        </w:rPr>
        <w:t>第</w:t>
      </w:r>
      <w:r>
        <w:rPr>
          <w:rStyle w:val="19"/>
          <w:rFonts w:hint="eastAsia" w:ascii="黑体" w:hAnsi="黑体" w:eastAsia="黑体"/>
          <w:b w:val="0"/>
          <w:highlight w:val="none"/>
        </w:rPr>
        <w:t>五部分 附表</w:t>
      </w:r>
      <w:bookmarkEnd w:id="153"/>
      <w:bookmarkEnd w:id="155"/>
      <w:bookmarkEnd w:id="158"/>
      <w:bookmarkEnd w:id="159"/>
      <w:bookmarkEnd w:id="160"/>
      <w:bookmarkStart w:id="161" w:name="_Toc15396619"/>
    </w:p>
    <w:p>
      <w:pPr>
        <w:pStyle w:val="4"/>
        <w:rPr>
          <w:rFonts w:ascii="仿宋" w:hAnsi="仿宋" w:eastAsia="仿宋"/>
          <w:highlight w:val="none"/>
        </w:rPr>
      </w:pPr>
      <w:bookmarkStart w:id="162" w:name="_Toc21926"/>
      <w:bookmarkStart w:id="163" w:name="_Toc7410"/>
      <w:bookmarkStart w:id="164" w:name="_Toc27561"/>
      <w:r>
        <w:rPr>
          <w:rFonts w:hint="eastAsia" w:ascii="仿宋" w:hAnsi="仿宋" w:eastAsia="仿宋"/>
          <w:b w:val="0"/>
          <w:highlight w:val="none"/>
        </w:rPr>
        <w:t>一、收</w:t>
      </w:r>
      <w:r>
        <w:rPr>
          <w:rStyle w:val="20"/>
          <w:rFonts w:hint="eastAsia" w:ascii="仿宋" w:hAnsi="仿宋" w:eastAsia="仿宋"/>
          <w:b w:val="0"/>
          <w:bCs w:val="0"/>
          <w:highlight w:val="none"/>
        </w:rPr>
        <w:t>入支出决算总表</w:t>
      </w:r>
      <w:bookmarkEnd w:id="161"/>
      <w:bookmarkEnd w:id="162"/>
      <w:bookmarkEnd w:id="163"/>
      <w:bookmarkEnd w:id="164"/>
    </w:p>
    <w:p>
      <w:pPr>
        <w:pStyle w:val="4"/>
        <w:rPr>
          <w:rFonts w:ascii="仿宋" w:hAnsi="仿宋" w:eastAsia="仿宋"/>
          <w:highlight w:val="none"/>
        </w:rPr>
      </w:pPr>
      <w:bookmarkStart w:id="165" w:name="_Toc18417"/>
      <w:bookmarkStart w:id="166" w:name="_Toc15396620"/>
      <w:bookmarkStart w:id="167" w:name="_Toc25715"/>
      <w:bookmarkStart w:id="168" w:name="_Toc28368"/>
      <w:r>
        <w:rPr>
          <w:rFonts w:hint="eastAsia" w:ascii="仿宋" w:hAnsi="仿宋" w:eastAsia="仿宋"/>
          <w:b w:val="0"/>
          <w:highlight w:val="none"/>
        </w:rPr>
        <w:t>二、收</w:t>
      </w:r>
      <w:r>
        <w:rPr>
          <w:rStyle w:val="20"/>
          <w:rFonts w:hint="eastAsia" w:ascii="仿宋" w:hAnsi="仿宋" w:eastAsia="仿宋"/>
          <w:b w:val="0"/>
          <w:bCs w:val="0"/>
          <w:highlight w:val="none"/>
        </w:rPr>
        <w:t>入决算表</w:t>
      </w:r>
      <w:bookmarkEnd w:id="165"/>
      <w:bookmarkEnd w:id="166"/>
      <w:bookmarkEnd w:id="167"/>
      <w:bookmarkEnd w:id="168"/>
    </w:p>
    <w:p>
      <w:pPr>
        <w:pStyle w:val="4"/>
        <w:rPr>
          <w:rFonts w:ascii="仿宋" w:hAnsi="仿宋" w:eastAsia="仿宋"/>
          <w:highlight w:val="none"/>
        </w:rPr>
      </w:pPr>
      <w:bookmarkStart w:id="169" w:name="_Toc31797"/>
      <w:bookmarkStart w:id="170" w:name="_Toc343"/>
      <w:bookmarkStart w:id="171" w:name="_Toc15396621"/>
      <w:bookmarkStart w:id="172" w:name="_Toc27863"/>
      <w:r>
        <w:rPr>
          <w:rStyle w:val="20"/>
          <w:rFonts w:hint="eastAsia" w:ascii="仿宋" w:hAnsi="仿宋" w:eastAsia="仿宋"/>
          <w:b w:val="0"/>
          <w:bCs w:val="0"/>
          <w:highlight w:val="none"/>
        </w:rPr>
        <w:t>三、</w:t>
      </w:r>
      <w:r>
        <w:rPr>
          <w:rFonts w:hint="eastAsia" w:ascii="仿宋" w:hAnsi="仿宋" w:eastAsia="仿宋"/>
          <w:b w:val="0"/>
          <w:highlight w:val="none"/>
        </w:rPr>
        <w:t>支</w:t>
      </w:r>
      <w:r>
        <w:rPr>
          <w:rStyle w:val="20"/>
          <w:rFonts w:hint="eastAsia" w:ascii="仿宋" w:hAnsi="仿宋" w:eastAsia="仿宋"/>
          <w:b w:val="0"/>
          <w:bCs w:val="0"/>
          <w:highlight w:val="none"/>
        </w:rPr>
        <w:t>出决算表</w:t>
      </w:r>
      <w:bookmarkEnd w:id="169"/>
      <w:bookmarkEnd w:id="170"/>
      <w:bookmarkEnd w:id="171"/>
      <w:bookmarkEnd w:id="172"/>
    </w:p>
    <w:p>
      <w:pPr>
        <w:pStyle w:val="4"/>
        <w:rPr>
          <w:rFonts w:ascii="仿宋" w:hAnsi="仿宋" w:eastAsia="仿宋"/>
          <w:b w:val="0"/>
          <w:highlight w:val="none"/>
        </w:rPr>
      </w:pPr>
      <w:bookmarkStart w:id="173" w:name="_Toc15396622"/>
      <w:bookmarkStart w:id="174" w:name="_Toc5456"/>
      <w:bookmarkStart w:id="175" w:name="_Toc10606"/>
      <w:bookmarkStart w:id="176" w:name="_Toc10068"/>
      <w:r>
        <w:rPr>
          <w:rStyle w:val="20"/>
          <w:rFonts w:hint="eastAsia" w:ascii="仿宋" w:hAnsi="仿宋" w:eastAsia="仿宋"/>
          <w:b w:val="0"/>
          <w:bCs w:val="0"/>
          <w:highlight w:val="none"/>
        </w:rPr>
        <w:t>四、</w:t>
      </w:r>
      <w:r>
        <w:rPr>
          <w:rFonts w:hint="eastAsia" w:ascii="仿宋" w:hAnsi="仿宋" w:eastAsia="仿宋"/>
          <w:b w:val="0"/>
          <w:highlight w:val="none"/>
        </w:rPr>
        <w:t>财</w:t>
      </w:r>
      <w:r>
        <w:rPr>
          <w:rStyle w:val="20"/>
          <w:rFonts w:hint="eastAsia" w:ascii="仿宋" w:hAnsi="仿宋" w:eastAsia="仿宋"/>
          <w:b w:val="0"/>
          <w:bCs w:val="0"/>
          <w:highlight w:val="none"/>
        </w:rPr>
        <w:t>政拨款收入支出决算总表</w:t>
      </w:r>
      <w:bookmarkEnd w:id="173"/>
      <w:bookmarkEnd w:id="174"/>
      <w:bookmarkEnd w:id="175"/>
      <w:bookmarkEnd w:id="176"/>
    </w:p>
    <w:p>
      <w:pPr>
        <w:pStyle w:val="4"/>
        <w:rPr>
          <w:rStyle w:val="20"/>
          <w:rFonts w:ascii="仿宋" w:hAnsi="仿宋" w:eastAsia="仿宋"/>
          <w:b w:val="0"/>
          <w:bCs w:val="0"/>
          <w:highlight w:val="none"/>
        </w:rPr>
      </w:pPr>
      <w:bookmarkStart w:id="177" w:name="_Toc18446"/>
      <w:bookmarkStart w:id="178" w:name="_Toc16743"/>
      <w:bookmarkStart w:id="179" w:name="_Toc31723"/>
      <w:bookmarkStart w:id="180" w:name="_Toc15396623"/>
      <w:r>
        <w:rPr>
          <w:rStyle w:val="20"/>
          <w:rFonts w:hint="eastAsia" w:ascii="仿宋" w:hAnsi="仿宋" w:eastAsia="仿宋"/>
          <w:b w:val="0"/>
          <w:bCs w:val="0"/>
          <w:highlight w:val="none"/>
        </w:rPr>
        <w:t>五、</w:t>
      </w:r>
      <w:r>
        <w:rPr>
          <w:rFonts w:hint="eastAsia" w:ascii="仿宋" w:hAnsi="仿宋" w:eastAsia="仿宋"/>
          <w:b w:val="0"/>
          <w:highlight w:val="none"/>
        </w:rPr>
        <w:t>财</w:t>
      </w:r>
      <w:r>
        <w:rPr>
          <w:rStyle w:val="20"/>
          <w:rFonts w:hint="eastAsia" w:ascii="仿宋" w:hAnsi="仿宋" w:eastAsia="仿宋"/>
          <w:b w:val="0"/>
          <w:bCs w:val="0"/>
          <w:highlight w:val="none"/>
        </w:rPr>
        <w:t>政拨款支出决算明细表</w:t>
      </w:r>
      <w:bookmarkEnd w:id="177"/>
      <w:bookmarkEnd w:id="178"/>
      <w:bookmarkEnd w:id="179"/>
      <w:bookmarkEnd w:id="180"/>
      <w:bookmarkStart w:id="181" w:name="_Toc15396624"/>
    </w:p>
    <w:p>
      <w:pPr>
        <w:pStyle w:val="4"/>
        <w:rPr>
          <w:rFonts w:ascii="仿宋" w:hAnsi="仿宋" w:eastAsia="仿宋"/>
          <w:highlight w:val="none"/>
        </w:rPr>
      </w:pPr>
      <w:bookmarkStart w:id="182" w:name="_Toc4346"/>
      <w:bookmarkStart w:id="183" w:name="_Toc21439"/>
      <w:bookmarkStart w:id="184" w:name="_Toc24957"/>
      <w:r>
        <w:rPr>
          <w:rStyle w:val="20"/>
          <w:rFonts w:hint="eastAsia" w:ascii="仿宋" w:hAnsi="仿宋" w:eastAsia="仿宋"/>
          <w:b w:val="0"/>
          <w:bCs w:val="0"/>
          <w:highlight w:val="none"/>
        </w:rPr>
        <w:t>六、</w:t>
      </w:r>
      <w:r>
        <w:rPr>
          <w:rFonts w:hint="eastAsia" w:ascii="仿宋" w:hAnsi="仿宋" w:eastAsia="仿宋"/>
          <w:b w:val="0"/>
          <w:highlight w:val="none"/>
        </w:rPr>
        <w:t>一</w:t>
      </w:r>
      <w:r>
        <w:rPr>
          <w:rStyle w:val="20"/>
          <w:rFonts w:hint="eastAsia" w:ascii="仿宋" w:hAnsi="仿宋" w:eastAsia="仿宋"/>
          <w:b w:val="0"/>
          <w:bCs w:val="0"/>
          <w:highlight w:val="none"/>
        </w:rPr>
        <w:t>般公共预算财政拨款支出决算表</w:t>
      </w:r>
      <w:bookmarkEnd w:id="181"/>
      <w:bookmarkEnd w:id="182"/>
      <w:bookmarkEnd w:id="183"/>
      <w:bookmarkEnd w:id="184"/>
    </w:p>
    <w:p>
      <w:pPr>
        <w:pStyle w:val="4"/>
        <w:rPr>
          <w:rFonts w:ascii="仿宋" w:hAnsi="仿宋" w:eastAsia="仿宋"/>
          <w:highlight w:val="none"/>
        </w:rPr>
      </w:pPr>
      <w:bookmarkStart w:id="185" w:name="_Toc15396625"/>
      <w:bookmarkStart w:id="186" w:name="_Toc13416"/>
      <w:bookmarkStart w:id="187" w:name="_Toc31837"/>
      <w:bookmarkStart w:id="188" w:name="_Toc13633"/>
      <w:r>
        <w:rPr>
          <w:rStyle w:val="20"/>
          <w:rFonts w:hint="eastAsia" w:ascii="仿宋" w:hAnsi="仿宋" w:eastAsia="仿宋"/>
          <w:b w:val="0"/>
          <w:bCs w:val="0"/>
          <w:highlight w:val="none"/>
        </w:rPr>
        <w:t>七、</w:t>
      </w:r>
      <w:r>
        <w:rPr>
          <w:rFonts w:hint="eastAsia" w:ascii="仿宋" w:hAnsi="仿宋" w:eastAsia="仿宋"/>
          <w:b w:val="0"/>
          <w:highlight w:val="none"/>
        </w:rPr>
        <w:t>一</w:t>
      </w:r>
      <w:r>
        <w:rPr>
          <w:rStyle w:val="20"/>
          <w:rFonts w:hint="eastAsia" w:ascii="仿宋" w:hAnsi="仿宋" w:eastAsia="仿宋"/>
          <w:b w:val="0"/>
          <w:bCs w:val="0"/>
          <w:highlight w:val="none"/>
        </w:rPr>
        <w:t>般公共预算财政拨款支出决算明细表</w:t>
      </w:r>
      <w:bookmarkEnd w:id="185"/>
      <w:bookmarkEnd w:id="186"/>
      <w:bookmarkEnd w:id="187"/>
      <w:bookmarkEnd w:id="188"/>
    </w:p>
    <w:p>
      <w:pPr>
        <w:pStyle w:val="4"/>
        <w:rPr>
          <w:rFonts w:ascii="仿宋" w:hAnsi="仿宋" w:eastAsia="仿宋"/>
          <w:highlight w:val="none"/>
        </w:rPr>
      </w:pPr>
      <w:bookmarkStart w:id="189" w:name="_Toc27375"/>
      <w:bookmarkStart w:id="190" w:name="_Toc15396626"/>
      <w:bookmarkStart w:id="191" w:name="_Toc8336"/>
      <w:bookmarkStart w:id="192" w:name="_Toc22632"/>
      <w:r>
        <w:rPr>
          <w:rStyle w:val="20"/>
          <w:rFonts w:hint="eastAsia" w:ascii="仿宋" w:hAnsi="仿宋" w:eastAsia="仿宋"/>
          <w:b w:val="0"/>
          <w:bCs w:val="0"/>
          <w:highlight w:val="none"/>
        </w:rPr>
        <w:t>八、</w:t>
      </w:r>
      <w:r>
        <w:rPr>
          <w:rFonts w:hint="eastAsia" w:ascii="仿宋" w:hAnsi="仿宋" w:eastAsia="仿宋"/>
          <w:b w:val="0"/>
          <w:highlight w:val="none"/>
        </w:rPr>
        <w:t>一</w:t>
      </w:r>
      <w:r>
        <w:rPr>
          <w:rStyle w:val="20"/>
          <w:rFonts w:hint="eastAsia" w:ascii="仿宋" w:hAnsi="仿宋" w:eastAsia="仿宋"/>
          <w:b w:val="0"/>
          <w:bCs w:val="0"/>
          <w:highlight w:val="none"/>
        </w:rPr>
        <w:t>般公共预算财政拨款基本支出决算表</w:t>
      </w:r>
      <w:bookmarkEnd w:id="189"/>
      <w:bookmarkEnd w:id="190"/>
      <w:bookmarkEnd w:id="191"/>
      <w:bookmarkEnd w:id="192"/>
    </w:p>
    <w:p>
      <w:pPr>
        <w:pStyle w:val="4"/>
        <w:rPr>
          <w:rFonts w:ascii="仿宋" w:hAnsi="仿宋" w:eastAsia="仿宋"/>
          <w:highlight w:val="none"/>
        </w:rPr>
      </w:pPr>
      <w:bookmarkStart w:id="193" w:name="_Toc15285"/>
      <w:bookmarkStart w:id="194" w:name="_Toc15396627"/>
      <w:bookmarkStart w:id="195" w:name="_Toc22431"/>
      <w:bookmarkStart w:id="196" w:name="_Toc29198"/>
      <w:r>
        <w:rPr>
          <w:rStyle w:val="20"/>
          <w:rFonts w:hint="eastAsia" w:ascii="仿宋" w:hAnsi="仿宋" w:eastAsia="仿宋"/>
          <w:b w:val="0"/>
          <w:bCs w:val="0"/>
          <w:highlight w:val="none"/>
        </w:rPr>
        <w:t>九、</w:t>
      </w:r>
      <w:r>
        <w:rPr>
          <w:rFonts w:hint="eastAsia" w:ascii="仿宋" w:hAnsi="仿宋" w:eastAsia="仿宋"/>
          <w:b w:val="0"/>
          <w:highlight w:val="none"/>
        </w:rPr>
        <w:t>一</w:t>
      </w:r>
      <w:r>
        <w:rPr>
          <w:rStyle w:val="20"/>
          <w:rFonts w:hint="eastAsia" w:ascii="仿宋" w:hAnsi="仿宋" w:eastAsia="仿宋"/>
          <w:b w:val="0"/>
          <w:bCs w:val="0"/>
          <w:highlight w:val="none"/>
        </w:rPr>
        <w:t>般公共预算财政拨款项目支出决算表</w:t>
      </w:r>
      <w:bookmarkEnd w:id="193"/>
      <w:bookmarkEnd w:id="194"/>
      <w:bookmarkEnd w:id="195"/>
      <w:bookmarkEnd w:id="196"/>
    </w:p>
    <w:p>
      <w:pPr>
        <w:pStyle w:val="4"/>
        <w:rPr>
          <w:rFonts w:ascii="仿宋" w:hAnsi="仿宋" w:eastAsia="仿宋"/>
          <w:highlight w:val="none"/>
        </w:rPr>
      </w:pPr>
      <w:bookmarkStart w:id="197" w:name="_Toc15396628"/>
      <w:bookmarkStart w:id="198" w:name="_Toc11687"/>
      <w:bookmarkStart w:id="199" w:name="_Toc10207"/>
      <w:bookmarkStart w:id="200" w:name="_Toc8424"/>
      <w:r>
        <w:rPr>
          <w:rStyle w:val="20"/>
          <w:rFonts w:hint="eastAsia" w:ascii="仿宋" w:hAnsi="仿宋" w:eastAsia="仿宋"/>
          <w:b w:val="0"/>
          <w:bCs w:val="0"/>
          <w:highlight w:val="none"/>
        </w:rPr>
        <w:t>十、</w:t>
      </w:r>
      <w:bookmarkEnd w:id="197"/>
      <w:r>
        <w:rPr>
          <w:rFonts w:hint="eastAsia" w:ascii="仿宋" w:hAnsi="仿宋" w:eastAsia="仿宋"/>
          <w:b w:val="0"/>
          <w:highlight w:val="none"/>
        </w:rPr>
        <w:t>政</w:t>
      </w:r>
      <w:r>
        <w:rPr>
          <w:rStyle w:val="20"/>
          <w:rFonts w:hint="eastAsia" w:ascii="仿宋" w:hAnsi="仿宋" w:eastAsia="仿宋"/>
          <w:b w:val="0"/>
          <w:bCs w:val="0"/>
          <w:highlight w:val="none"/>
        </w:rPr>
        <w:t>府性基金预算财政拨款收入支出决算表</w:t>
      </w:r>
      <w:bookmarkEnd w:id="198"/>
      <w:bookmarkEnd w:id="199"/>
      <w:bookmarkEnd w:id="200"/>
    </w:p>
    <w:p>
      <w:pPr>
        <w:pStyle w:val="4"/>
        <w:rPr>
          <w:rFonts w:ascii="仿宋" w:hAnsi="仿宋" w:eastAsia="仿宋"/>
          <w:highlight w:val="none"/>
        </w:rPr>
      </w:pPr>
      <w:bookmarkStart w:id="201" w:name="_Toc15396629"/>
      <w:bookmarkStart w:id="202" w:name="_Toc27680"/>
      <w:bookmarkStart w:id="203" w:name="_Toc21709"/>
      <w:bookmarkStart w:id="204" w:name="_Toc11636"/>
      <w:r>
        <w:rPr>
          <w:rStyle w:val="20"/>
          <w:rFonts w:hint="eastAsia" w:ascii="仿宋" w:hAnsi="仿宋" w:eastAsia="仿宋"/>
          <w:b w:val="0"/>
          <w:bCs w:val="0"/>
          <w:highlight w:val="none"/>
        </w:rPr>
        <w:t>十一、</w:t>
      </w:r>
      <w:bookmarkEnd w:id="201"/>
      <w:r>
        <w:rPr>
          <w:rFonts w:hint="eastAsia" w:ascii="仿宋" w:hAnsi="仿宋" w:eastAsia="仿宋"/>
          <w:b w:val="0"/>
          <w:highlight w:val="none"/>
        </w:rPr>
        <w:t>国</w:t>
      </w:r>
      <w:r>
        <w:rPr>
          <w:rStyle w:val="20"/>
          <w:rFonts w:hint="eastAsia" w:ascii="仿宋" w:hAnsi="仿宋" w:eastAsia="仿宋"/>
          <w:b w:val="0"/>
          <w:bCs w:val="0"/>
          <w:highlight w:val="none"/>
        </w:rPr>
        <w:t>有资本经营预算财政拨款收入支出决算表</w:t>
      </w:r>
      <w:bookmarkEnd w:id="202"/>
      <w:bookmarkEnd w:id="203"/>
      <w:bookmarkEnd w:id="204"/>
    </w:p>
    <w:p>
      <w:pPr>
        <w:pStyle w:val="4"/>
        <w:rPr>
          <w:rFonts w:ascii="仿宋" w:hAnsi="仿宋" w:eastAsia="仿宋"/>
          <w:highlight w:val="none"/>
        </w:rPr>
      </w:pPr>
      <w:bookmarkStart w:id="205" w:name="_Toc15396630"/>
      <w:bookmarkStart w:id="206" w:name="_Toc22673"/>
      <w:bookmarkStart w:id="207" w:name="_Toc22280"/>
      <w:bookmarkStart w:id="208" w:name="_Toc21239"/>
      <w:r>
        <w:rPr>
          <w:rStyle w:val="20"/>
          <w:rFonts w:hint="eastAsia" w:ascii="仿宋" w:hAnsi="仿宋" w:eastAsia="仿宋"/>
          <w:b w:val="0"/>
          <w:bCs w:val="0"/>
          <w:highlight w:val="none"/>
        </w:rPr>
        <w:t>十二、</w:t>
      </w:r>
      <w:bookmarkEnd w:id="205"/>
      <w:r>
        <w:rPr>
          <w:rStyle w:val="20"/>
          <w:rFonts w:hint="eastAsia" w:ascii="仿宋" w:hAnsi="仿宋" w:eastAsia="仿宋"/>
          <w:b w:val="0"/>
          <w:bCs w:val="0"/>
          <w:highlight w:val="none"/>
        </w:rPr>
        <w:t>国有资本经营预算财政拨款支出决算表</w:t>
      </w:r>
      <w:bookmarkEnd w:id="206"/>
      <w:bookmarkEnd w:id="207"/>
      <w:bookmarkEnd w:id="208"/>
    </w:p>
    <w:p>
      <w:pPr>
        <w:pStyle w:val="4"/>
        <w:rPr>
          <w:rFonts w:eastAsia="仿宋"/>
          <w:highlight w:val="none"/>
        </w:rPr>
      </w:pPr>
      <w:bookmarkStart w:id="209" w:name="_Toc15396631"/>
      <w:bookmarkStart w:id="210" w:name="_Toc11598"/>
      <w:bookmarkStart w:id="211" w:name="_Toc4944"/>
      <w:bookmarkStart w:id="212" w:name="_Toc14681"/>
      <w:r>
        <w:rPr>
          <w:rStyle w:val="20"/>
          <w:rFonts w:hint="eastAsia" w:ascii="仿宋" w:hAnsi="仿宋" w:eastAsia="仿宋"/>
          <w:b w:val="0"/>
          <w:bCs w:val="0"/>
          <w:highlight w:val="none"/>
        </w:rPr>
        <w:t>十三、</w:t>
      </w:r>
      <w:bookmarkEnd w:id="209"/>
      <w:r>
        <w:rPr>
          <w:rStyle w:val="20"/>
          <w:rFonts w:hint="eastAsia" w:ascii="仿宋" w:hAnsi="仿宋" w:eastAsia="仿宋"/>
          <w:b w:val="0"/>
          <w:bCs w:val="0"/>
          <w:highlight w:val="none"/>
        </w:rPr>
        <w:t>财政拨款“三公”经费支出决算表</w:t>
      </w:r>
      <w:bookmarkEnd w:id="210"/>
      <w:bookmarkEnd w:id="211"/>
      <w:bookmarkEnd w:id="212"/>
    </w:p>
    <w:sectPr>
      <w:footerReference r:id="rId6" w:type="firs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sdt>
      <w:sdtPr>
        <w:id w:val="-1"/>
      </w:sdtPr>
      <w:sdtContent/>
    </w:sdt>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82768917"/>
      </w:sdtPr>
      <w:sdtContent/>
    </w:sdt>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2F6ED49"/>
    <w:multiLevelType w:val="singleLevel"/>
    <w:tmpl w:val="F2F6ED49"/>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FF66172"/>
    <w:multiLevelType w:val="singleLevel"/>
    <w:tmpl w:val="7FF66172"/>
    <w:lvl w:ilvl="0" w:tentative="0">
      <w:start w:val="2"/>
      <w:numFmt w:val="chineseCounting"/>
      <w:lvlText w:val="%1."/>
      <w:lvlJc w:val="left"/>
      <w:pPr>
        <w:tabs>
          <w:tab w:val="left" w:pos="312"/>
        </w:tabs>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mE0NDkwMWZlNjllZTRmMzI5MWJjMmY2OWZmN2Q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10DC"/>
    <w:rsid w:val="00294DC9"/>
    <w:rsid w:val="00295495"/>
    <w:rsid w:val="00296707"/>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7BEC"/>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474D"/>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6AD"/>
    <w:rsid w:val="006A3141"/>
    <w:rsid w:val="006A5E34"/>
    <w:rsid w:val="006B2422"/>
    <w:rsid w:val="006B2B9A"/>
    <w:rsid w:val="006C1937"/>
    <w:rsid w:val="006D42E2"/>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775C"/>
    <w:rsid w:val="009315F9"/>
    <w:rsid w:val="00933499"/>
    <w:rsid w:val="00935C98"/>
    <w:rsid w:val="00946945"/>
    <w:rsid w:val="00951248"/>
    <w:rsid w:val="0095152F"/>
    <w:rsid w:val="00954C49"/>
    <w:rsid w:val="00955E37"/>
    <w:rsid w:val="0097099F"/>
    <w:rsid w:val="00971997"/>
    <w:rsid w:val="00971FFC"/>
    <w:rsid w:val="0098660A"/>
    <w:rsid w:val="009931C3"/>
    <w:rsid w:val="00997D30"/>
    <w:rsid w:val="009B2C43"/>
    <w:rsid w:val="009B4EAE"/>
    <w:rsid w:val="009B5DD3"/>
    <w:rsid w:val="009B7573"/>
    <w:rsid w:val="009C22F4"/>
    <w:rsid w:val="009C2A4B"/>
    <w:rsid w:val="009C2E98"/>
    <w:rsid w:val="009D3447"/>
    <w:rsid w:val="009D4711"/>
    <w:rsid w:val="009F1185"/>
    <w:rsid w:val="009F18CD"/>
    <w:rsid w:val="009F2A13"/>
    <w:rsid w:val="009F7527"/>
    <w:rsid w:val="00A04EB0"/>
    <w:rsid w:val="00A13CC1"/>
    <w:rsid w:val="00A16847"/>
    <w:rsid w:val="00A204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5A3F"/>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7C6F"/>
    <w:rsid w:val="00E331A1"/>
    <w:rsid w:val="00E33202"/>
    <w:rsid w:val="00E336A9"/>
    <w:rsid w:val="00E472B1"/>
    <w:rsid w:val="00E50624"/>
    <w:rsid w:val="00E568DF"/>
    <w:rsid w:val="00E64269"/>
    <w:rsid w:val="00E82267"/>
    <w:rsid w:val="00E853CE"/>
    <w:rsid w:val="00E867B6"/>
    <w:rsid w:val="00EA010F"/>
    <w:rsid w:val="00EB70F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1D41"/>
    <w:rsid w:val="00FD3CC1"/>
    <w:rsid w:val="00FF1E02"/>
    <w:rsid w:val="00FF30B4"/>
    <w:rsid w:val="019B53E2"/>
    <w:rsid w:val="01FB40D3"/>
    <w:rsid w:val="023C235A"/>
    <w:rsid w:val="02AE1145"/>
    <w:rsid w:val="02EA4873"/>
    <w:rsid w:val="03247893"/>
    <w:rsid w:val="034F46D6"/>
    <w:rsid w:val="03824AAC"/>
    <w:rsid w:val="038F71C9"/>
    <w:rsid w:val="03E72E8F"/>
    <w:rsid w:val="04C64E6C"/>
    <w:rsid w:val="04C77723"/>
    <w:rsid w:val="05016D80"/>
    <w:rsid w:val="053A62B5"/>
    <w:rsid w:val="05545385"/>
    <w:rsid w:val="05926AFC"/>
    <w:rsid w:val="064918B1"/>
    <w:rsid w:val="06E25862"/>
    <w:rsid w:val="08430582"/>
    <w:rsid w:val="08740731"/>
    <w:rsid w:val="090B5543"/>
    <w:rsid w:val="0923693C"/>
    <w:rsid w:val="09BE3462"/>
    <w:rsid w:val="0A2032A3"/>
    <w:rsid w:val="0B381EF4"/>
    <w:rsid w:val="0B8A37D8"/>
    <w:rsid w:val="0BA63302"/>
    <w:rsid w:val="0BEA58E4"/>
    <w:rsid w:val="0C3C5A14"/>
    <w:rsid w:val="0D6C40D7"/>
    <w:rsid w:val="0DDC74AE"/>
    <w:rsid w:val="0E7B2823"/>
    <w:rsid w:val="0F006509"/>
    <w:rsid w:val="0F7E3A23"/>
    <w:rsid w:val="104135F9"/>
    <w:rsid w:val="10C055FF"/>
    <w:rsid w:val="118107EC"/>
    <w:rsid w:val="11967974"/>
    <w:rsid w:val="11DD6519"/>
    <w:rsid w:val="12072620"/>
    <w:rsid w:val="1209283C"/>
    <w:rsid w:val="13086650"/>
    <w:rsid w:val="1432607A"/>
    <w:rsid w:val="14BF5588"/>
    <w:rsid w:val="14D902A4"/>
    <w:rsid w:val="150516DD"/>
    <w:rsid w:val="150F4AAE"/>
    <w:rsid w:val="158D11B1"/>
    <w:rsid w:val="15BF56EC"/>
    <w:rsid w:val="16BB723D"/>
    <w:rsid w:val="174A7237"/>
    <w:rsid w:val="17B73897"/>
    <w:rsid w:val="17F11DA8"/>
    <w:rsid w:val="18015F3F"/>
    <w:rsid w:val="18CB39A2"/>
    <w:rsid w:val="1AE45BF4"/>
    <w:rsid w:val="1B2A7AAB"/>
    <w:rsid w:val="1B6A60FA"/>
    <w:rsid w:val="1BE8440E"/>
    <w:rsid w:val="1D155CEE"/>
    <w:rsid w:val="1E2572EA"/>
    <w:rsid w:val="20126D60"/>
    <w:rsid w:val="205E1FA5"/>
    <w:rsid w:val="20A21E92"/>
    <w:rsid w:val="20F57F95"/>
    <w:rsid w:val="21333D8E"/>
    <w:rsid w:val="22B61C24"/>
    <w:rsid w:val="22F83FEB"/>
    <w:rsid w:val="23571659"/>
    <w:rsid w:val="23902475"/>
    <w:rsid w:val="240371BF"/>
    <w:rsid w:val="244F584F"/>
    <w:rsid w:val="256718FC"/>
    <w:rsid w:val="25711CC6"/>
    <w:rsid w:val="25783B09"/>
    <w:rsid w:val="25C741E6"/>
    <w:rsid w:val="26445799"/>
    <w:rsid w:val="26793695"/>
    <w:rsid w:val="27343A60"/>
    <w:rsid w:val="275C5DAF"/>
    <w:rsid w:val="27842671"/>
    <w:rsid w:val="28EC5BE2"/>
    <w:rsid w:val="297B3BC8"/>
    <w:rsid w:val="29FD04D3"/>
    <w:rsid w:val="2A522B7B"/>
    <w:rsid w:val="2ABE7A3E"/>
    <w:rsid w:val="2B242DDB"/>
    <w:rsid w:val="2B5D5B53"/>
    <w:rsid w:val="2B85488A"/>
    <w:rsid w:val="2B8925CC"/>
    <w:rsid w:val="2C477D91"/>
    <w:rsid w:val="2C6646BB"/>
    <w:rsid w:val="2C92725E"/>
    <w:rsid w:val="2CA234A8"/>
    <w:rsid w:val="2DDB2E87"/>
    <w:rsid w:val="2E5073D1"/>
    <w:rsid w:val="2EBE07DF"/>
    <w:rsid w:val="2EFA178C"/>
    <w:rsid w:val="302F3016"/>
    <w:rsid w:val="30B46D73"/>
    <w:rsid w:val="319F7F4E"/>
    <w:rsid w:val="324234D5"/>
    <w:rsid w:val="32716216"/>
    <w:rsid w:val="32722345"/>
    <w:rsid w:val="32886D65"/>
    <w:rsid w:val="32B141B6"/>
    <w:rsid w:val="331A61FF"/>
    <w:rsid w:val="332B5D17"/>
    <w:rsid w:val="344F012B"/>
    <w:rsid w:val="35EB79DF"/>
    <w:rsid w:val="37BC1633"/>
    <w:rsid w:val="37E7201B"/>
    <w:rsid w:val="383D272C"/>
    <w:rsid w:val="38653A79"/>
    <w:rsid w:val="38657F1D"/>
    <w:rsid w:val="39AE70AB"/>
    <w:rsid w:val="3ADE7B13"/>
    <w:rsid w:val="3BB014AF"/>
    <w:rsid w:val="3C0C0783"/>
    <w:rsid w:val="3C3E2F5F"/>
    <w:rsid w:val="3C4A1903"/>
    <w:rsid w:val="3C993D9D"/>
    <w:rsid w:val="3EB05EF1"/>
    <w:rsid w:val="3F387D93"/>
    <w:rsid w:val="3F5E56C6"/>
    <w:rsid w:val="3F6727CC"/>
    <w:rsid w:val="3F9F3A96"/>
    <w:rsid w:val="40362758"/>
    <w:rsid w:val="40BC26A4"/>
    <w:rsid w:val="40C63523"/>
    <w:rsid w:val="40D914A8"/>
    <w:rsid w:val="40ED6D01"/>
    <w:rsid w:val="41085755"/>
    <w:rsid w:val="41566655"/>
    <w:rsid w:val="41EA4FE1"/>
    <w:rsid w:val="42ED4D97"/>
    <w:rsid w:val="43384391"/>
    <w:rsid w:val="43B6162D"/>
    <w:rsid w:val="456F5F37"/>
    <w:rsid w:val="45AF4585"/>
    <w:rsid w:val="45F66658"/>
    <w:rsid w:val="467B090B"/>
    <w:rsid w:val="46BA1434"/>
    <w:rsid w:val="476060E7"/>
    <w:rsid w:val="47F92430"/>
    <w:rsid w:val="48283AAC"/>
    <w:rsid w:val="48BF60AB"/>
    <w:rsid w:val="493354CD"/>
    <w:rsid w:val="493C27E9"/>
    <w:rsid w:val="496F39ED"/>
    <w:rsid w:val="49FF41D3"/>
    <w:rsid w:val="4A1C2405"/>
    <w:rsid w:val="4A5E2A1E"/>
    <w:rsid w:val="4B49722A"/>
    <w:rsid w:val="4B69167A"/>
    <w:rsid w:val="4BE068DB"/>
    <w:rsid w:val="4BF6002B"/>
    <w:rsid w:val="4CE511D4"/>
    <w:rsid w:val="4D317F76"/>
    <w:rsid w:val="4ECE2238"/>
    <w:rsid w:val="4F5A1A06"/>
    <w:rsid w:val="50BE7D72"/>
    <w:rsid w:val="512C2F2E"/>
    <w:rsid w:val="514E559A"/>
    <w:rsid w:val="51DB4B86"/>
    <w:rsid w:val="51E02979"/>
    <w:rsid w:val="543F11CA"/>
    <w:rsid w:val="54413194"/>
    <w:rsid w:val="54992FD0"/>
    <w:rsid w:val="54A86D6F"/>
    <w:rsid w:val="55333C3E"/>
    <w:rsid w:val="555D4E52"/>
    <w:rsid w:val="568D0913"/>
    <w:rsid w:val="57AF2B0B"/>
    <w:rsid w:val="57B8FAFC"/>
    <w:rsid w:val="581D3FDC"/>
    <w:rsid w:val="58405511"/>
    <w:rsid w:val="587C0C3F"/>
    <w:rsid w:val="58B57CAD"/>
    <w:rsid w:val="58F033DB"/>
    <w:rsid w:val="59973856"/>
    <w:rsid w:val="59B241EC"/>
    <w:rsid w:val="59CC3500"/>
    <w:rsid w:val="5AAFD3F2"/>
    <w:rsid w:val="5ABF12B7"/>
    <w:rsid w:val="5ACD5782"/>
    <w:rsid w:val="5AF80325"/>
    <w:rsid w:val="5B6E8E67"/>
    <w:rsid w:val="5CDD33AE"/>
    <w:rsid w:val="5D4B0BE0"/>
    <w:rsid w:val="5DA56542"/>
    <w:rsid w:val="5DAA1DAA"/>
    <w:rsid w:val="5E002DD4"/>
    <w:rsid w:val="5E0F7E5F"/>
    <w:rsid w:val="5E2D4789"/>
    <w:rsid w:val="602F47E9"/>
    <w:rsid w:val="60B151FE"/>
    <w:rsid w:val="610F0176"/>
    <w:rsid w:val="611F660B"/>
    <w:rsid w:val="61734BA9"/>
    <w:rsid w:val="61D03DA9"/>
    <w:rsid w:val="625B553B"/>
    <w:rsid w:val="62D81168"/>
    <w:rsid w:val="649E1F3D"/>
    <w:rsid w:val="64CA39A1"/>
    <w:rsid w:val="652F2B95"/>
    <w:rsid w:val="65331946"/>
    <w:rsid w:val="66157FDD"/>
    <w:rsid w:val="66660838"/>
    <w:rsid w:val="66AC6B93"/>
    <w:rsid w:val="671E7365"/>
    <w:rsid w:val="67656D42"/>
    <w:rsid w:val="67EEA856"/>
    <w:rsid w:val="68A1024E"/>
    <w:rsid w:val="68D93544"/>
    <w:rsid w:val="69630ADE"/>
    <w:rsid w:val="69AC6041"/>
    <w:rsid w:val="6AB75B07"/>
    <w:rsid w:val="6ABB65F0"/>
    <w:rsid w:val="6B2D7B77"/>
    <w:rsid w:val="6C4A05C8"/>
    <w:rsid w:val="6C9F6852"/>
    <w:rsid w:val="6CA200F0"/>
    <w:rsid w:val="6D12171A"/>
    <w:rsid w:val="6D262AD0"/>
    <w:rsid w:val="6D3B1A89"/>
    <w:rsid w:val="6D99628D"/>
    <w:rsid w:val="6F451933"/>
    <w:rsid w:val="6F4A519B"/>
    <w:rsid w:val="6F4D6A39"/>
    <w:rsid w:val="6F6F4C02"/>
    <w:rsid w:val="6FDD7DBD"/>
    <w:rsid w:val="7027728A"/>
    <w:rsid w:val="70E84C6C"/>
    <w:rsid w:val="71BF4EC2"/>
    <w:rsid w:val="722515A8"/>
    <w:rsid w:val="72734D90"/>
    <w:rsid w:val="72750781"/>
    <w:rsid w:val="73F05BE5"/>
    <w:rsid w:val="7412278C"/>
    <w:rsid w:val="744A3547"/>
    <w:rsid w:val="744D4CB0"/>
    <w:rsid w:val="74E76FE8"/>
    <w:rsid w:val="74F24B9A"/>
    <w:rsid w:val="751F2C26"/>
    <w:rsid w:val="76C45833"/>
    <w:rsid w:val="77BA09E4"/>
    <w:rsid w:val="77C83101"/>
    <w:rsid w:val="78252301"/>
    <w:rsid w:val="7904082E"/>
    <w:rsid w:val="79132AA2"/>
    <w:rsid w:val="792C76C0"/>
    <w:rsid w:val="79E7B28D"/>
    <w:rsid w:val="79F006ED"/>
    <w:rsid w:val="79FB4642"/>
    <w:rsid w:val="7A3902E6"/>
    <w:rsid w:val="7A794B87"/>
    <w:rsid w:val="7A7C01D3"/>
    <w:rsid w:val="7BE72A35"/>
    <w:rsid w:val="7BE95D3C"/>
    <w:rsid w:val="7D951CD7"/>
    <w:rsid w:val="7DDD367E"/>
    <w:rsid w:val="7E223256"/>
    <w:rsid w:val="7F4F8768"/>
    <w:rsid w:val="7F623D8C"/>
    <w:rsid w:val="7F9F20EE"/>
    <w:rsid w:val="7F9F55AE"/>
    <w:rsid w:val="9E3A10E2"/>
    <w:rsid w:val="B7375E1B"/>
    <w:rsid w:val="D3E6EA25"/>
    <w:rsid w:val="EF9E115E"/>
    <w:rsid w:val="F2E1F9D4"/>
    <w:rsid w:val="F7880819"/>
    <w:rsid w:val="FBD7D00F"/>
    <w:rsid w:val="FEEDE090"/>
    <w:rsid w:val="FEF79D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rPr>
      <w:rFonts w:eastAsia="仿宋_GB2312"/>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rPr>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0"/>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9"/>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81"/>
    <w:basedOn w:val="16"/>
    <w:qFormat/>
    <w:uiPriority w:val="0"/>
    <w:rPr>
      <w:rFonts w:hint="default" w:ascii="Times New Roman" w:hAnsi="Times New Roman" w:cs="Times New Roman"/>
      <w:color w:val="000000"/>
      <w:sz w:val="24"/>
      <w:szCs w:val="24"/>
      <w:u w:val="none"/>
    </w:rPr>
  </w:style>
  <w:style w:type="character" w:customStyle="1" w:styleId="34">
    <w:name w:val="font21"/>
    <w:basedOn w:val="16"/>
    <w:qFormat/>
    <w:uiPriority w:val="0"/>
    <w:rPr>
      <w:rFonts w:hint="eastAsia" w:ascii="宋体" w:hAnsi="宋体" w:eastAsia="宋体" w:cs="宋体"/>
      <w:color w:val="000000"/>
      <w:sz w:val="24"/>
      <w:szCs w:val="24"/>
      <w:u w:val="none"/>
    </w:rPr>
  </w:style>
  <w:style w:type="character" w:customStyle="1" w:styleId="35">
    <w:name w:val="font51"/>
    <w:basedOn w:val="16"/>
    <w:qFormat/>
    <w:uiPriority w:val="0"/>
    <w:rPr>
      <w:rFonts w:hint="eastAsia" w:ascii="宋体" w:hAnsi="宋体" w:eastAsia="宋体" w:cs="宋体"/>
      <w:color w:val="000000"/>
      <w:sz w:val="22"/>
      <w:szCs w:val="22"/>
      <w:u w:val="none"/>
    </w:rPr>
  </w:style>
  <w:style w:type="character" w:customStyle="1" w:styleId="36">
    <w:name w:val="font41"/>
    <w:basedOn w:val="16"/>
    <w:qFormat/>
    <w:uiPriority w:val="0"/>
    <w:rPr>
      <w:rFonts w:hint="default" w:ascii="Times New Roman" w:hAnsi="Times New Roman" w:cs="Times New Roman"/>
      <w:color w:val="000000"/>
      <w:sz w:val="24"/>
      <w:szCs w:val="24"/>
      <w:u w:val="none"/>
    </w:rPr>
  </w:style>
  <w:style w:type="character" w:customStyle="1" w:styleId="37">
    <w:name w:val="font61"/>
    <w:basedOn w:val="16"/>
    <w:qFormat/>
    <w:uiPriority w:val="0"/>
    <w:rPr>
      <w:rFonts w:hint="eastAsia" w:ascii="宋体" w:hAnsi="宋体" w:eastAsia="宋体" w:cs="宋体"/>
      <w:color w:val="000000"/>
      <w:sz w:val="24"/>
      <w:szCs w:val="24"/>
      <w:u w:val="non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5090871074375"/>
          <c:y val="0.170574435743733"/>
          <c:w val="0.88798455686951"/>
          <c:h val="0.684442698333129"/>
        </c:manualLayout>
      </c:layout>
      <c:barChart>
        <c:barDir val="col"/>
        <c:grouping val="clustered"/>
        <c:varyColors val="0"/>
        <c:ser>
          <c:idx val="0"/>
          <c:order val="0"/>
          <c:tx>
            <c:strRef>
              <c:f>Sheet1!$B$1</c:f>
              <c:strCache>
                <c:ptCount val="1"/>
                <c:pt idx="0">
                  <c:v>收、支决算总计变动情况</c:v>
                </c:pt>
              </c:strCache>
            </c:strRef>
          </c:tx>
          <c:invertIfNegative val="0"/>
          <c:dLbls>
            <c:delete val="1"/>
          </c:dLbls>
          <c:cat>
            <c:strRef>
              <c:f>Sheet1!$A$2:$A$3</c:f>
              <c:strCache>
                <c:ptCount val="2"/>
                <c:pt idx="0">
                  <c:v>2021年238.39万元</c:v>
                </c:pt>
                <c:pt idx="1">
                  <c:v>2022年340.16万元</c:v>
                </c:pt>
              </c:strCache>
            </c:strRef>
          </c:cat>
          <c:val>
            <c:numRef>
              <c:f>Sheet1!$B$2:$B$3</c:f>
              <c:numCache>
                <c:formatCode>General</c:formatCode>
                <c:ptCount val="2"/>
                <c:pt idx="0">
                  <c:v>238.39</c:v>
                </c:pt>
                <c:pt idx="1">
                  <c:v>340.16</c:v>
                </c:pt>
              </c:numCache>
            </c:numRef>
          </c:val>
        </c:ser>
        <c:dLbls>
          <c:showLegendKey val="0"/>
          <c:showVal val="0"/>
          <c:showCatName val="0"/>
          <c:showSerName val="0"/>
          <c:showPercent val="0"/>
          <c:showBubbleSize val="0"/>
        </c:dLbls>
        <c:gapWidth val="150"/>
        <c:axId val="130586880"/>
        <c:axId val="67866624"/>
      </c:barChart>
      <c:catAx>
        <c:axId val="130586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866624"/>
        <c:crosses val="autoZero"/>
        <c:auto val="1"/>
        <c:lblAlgn val="ctr"/>
        <c:lblOffset val="100"/>
        <c:noMultiLvlLbl val="0"/>
      </c:catAx>
      <c:valAx>
        <c:axId val="67866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5868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收入决算结构图</c:v>
                </c:pt>
              </c:strCache>
            </c:strRef>
          </c:tx>
          <c:explosion val="0"/>
          <c:dPt>
            <c:idx val="0"/>
            <c:bubble3D val="0"/>
          </c:dPt>
          <c:dLbls>
            <c:delete val="1"/>
          </c:dLbls>
          <c:cat>
            <c:strRef>
              <c:f>Sheet1!$A$2</c:f>
              <c:strCache>
                <c:ptCount val="1"/>
                <c:pt idx="0">
                  <c:v>一般公共预算财政拨款收入285.51万元</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c:v>
                </c:pt>
              </c:strCache>
            </c:strRef>
          </c:tx>
          <c:explosion val="0"/>
          <c:dPt>
            <c:idx val="0"/>
            <c:bubble3D val="0"/>
          </c:dPt>
          <c:dPt>
            <c:idx val="1"/>
            <c:bubble3D val="0"/>
          </c:dPt>
          <c:dLbls>
            <c:delete val="1"/>
          </c:dLbls>
          <c:cat>
            <c:strRef>
              <c:f>Sheet1!$A$2:$A$3</c:f>
              <c:strCache>
                <c:ptCount val="2"/>
                <c:pt idx="0">
                  <c:v>基本支出223.25万元</c:v>
                </c:pt>
                <c:pt idx="1">
                  <c:v>项目支出105.01万元</c:v>
                </c:pt>
              </c:strCache>
            </c:strRef>
          </c:cat>
          <c:val>
            <c:numRef>
              <c:f>Sheet1!$B$2:$B$3</c:f>
              <c:numCache>
                <c:formatCode>0%</c:formatCode>
                <c:ptCount val="2"/>
                <c:pt idx="0">
                  <c:v>0.68</c:v>
                </c:pt>
                <c:pt idx="1">
                  <c:v>0.32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财政拨款收、支决算总计变动情况</c:v>
                </c:pt>
              </c:strCache>
            </c:strRef>
          </c:tx>
          <c:invertIfNegative val="0"/>
          <c:dLbls>
            <c:delete val="1"/>
          </c:dLbls>
          <c:cat>
            <c:strRef>
              <c:f>Sheet1!$A$2:$A$3</c:f>
              <c:strCache>
                <c:ptCount val="2"/>
                <c:pt idx="0">
                  <c:v>2021年238.39万元</c:v>
                </c:pt>
                <c:pt idx="1">
                  <c:v>2022年340.16万元</c:v>
                </c:pt>
              </c:strCache>
            </c:strRef>
          </c:cat>
          <c:val>
            <c:numRef>
              <c:f>Sheet1!$B$2:$B$3</c:f>
              <c:numCache>
                <c:formatCode>General</c:formatCode>
                <c:ptCount val="2"/>
                <c:pt idx="0">
                  <c:v>238.39</c:v>
                </c:pt>
                <c:pt idx="1">
                  <c:v>340.16</c:v>
                </c:pt>
              </c:numCache>
            </c:numRef>
          </c:val>
        </c:ser>
        <c:dLbls>
          <c:showLegendKey val="0"/>
          <c:showVal val="0"/>
          <c:showCatName val="0"/>
          <c:showSerName val="0"/>
          <c:showPercent val="0"/>
          <c:showBubbleSize val="0"/>
        </c:dLbls>
        <c:gapWidth val="150"/>
        <c:axId val="68604288"/>
        <c:axId val="68605824"/>
      </c:barChart>
      <c:catAx>
        <c:axId val="6860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605824"/>
        <c:crosses val="autoZero"/>
        <c:auto val="1"/>
        <c:lblAlgn val="ctr"/>
        <c:lblOffset val="100"/>
        <c:noMultiLvlLbl val="0"/>
      </c:catAx>
      <c:valAx>
        <c:axId val="6860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60428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delete val="1"/>
          </c:dLbls>
          <c:cat>
            <c:strRef>
              <c:f>Sheet1!$A$2:$A$3</c:f>
              <c:strCache>
                <c:ptCount val="2"/>
                <c:pt idx="0">
                  <c:v>2021年183.73万元</c:v>
                </c:pt>
                <c:pt idx="1">
                  <c:v>2022年328.26万元</c:v>
                </c:pt>
              </c:strCache>
            </c:strRef>
          </c:cat>
          <c:val>
            <c:numRef>
              <c:f>Sheet1!$B$2:$B$3</c:f>
              <c:numCache>
                <c:formatCode>General</c:formatCode>
                <c:ptCount val="2"/>
                <c:pt idx="0">
                  <c:v>183.73</c:v>
                </c:pt>
                <c:pt idx="1">
                  <c:v>328.26</c:v>
                </c:pt>
              </c:numCache>
            </c:numRef>
          </c:val>
        </c:ser>
        <c:dLbls>
          <c:showLegendKey val="0"/>
          <c:showVal val="0"/>
          <c:showCatName val="0"/>
          <c:showSerName val="0"/>
          <c:showPercent val="0"/>
          <c:showBubbleSize val="0"/>
        </c:dLbls>
        <c:gapWidth val="150"/>
        <c:axId val="68662400"/>
        <c:axId val="68663936"/>
      </c:barChart>
      <c:catAx>
        <c:axId val="686624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663936"/>
        <c:crosses val="autoZero"/>
        <c:auto val="1"/>
        <c:lblAlgn val="ctr"/>
        <c:lblOffset val="100"/>
        <c:noMultiLvlLbl val="0"/>
      </c:catAx>
      <c:valAx>
        <c:axId val="686639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66240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Lbls>
            <c:delete val="1"/>
          </c:dLbls>
          <c:cat>
            <c:strRef>
              <c:f>Sheet1!$A$2:$A$4</c:f>
              <c:strCache>
                <c:ptCount val="3"/>
                <c:pt idx="0">
                  <c:v>社会保障和就业支出302.58万元</c:v>
                </c:pt>
                <c:pt idx="1">
                  <c:v>卫生健康支出7.37万元</c:v>
                </c:pt>
                <c:pt idx="2">
                  <c:v>住房保障支出18.31万元</c:v>
                </c:pt>
              </c:strCache>
            </c:strRef>
          </c:cat>
          <c:val>
            <c:numRef>
              <c:f>Sheet1!$B$2:$B$4</c:f>
              <c:numCache>
                <c:formatCode>0.00%</c:formatCode>
                <c:ptCount val="3"/>
                <c:pt idx="0">
                  <c:v>0.922</c:v>
                </c:pt>
                <c:pt idx="1">
                  <c:v>0.022</c:v>
                </c:pt>
                <c:pt idx="2">
                  <c:v>0.056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因公出国（境）费支出决算0万元</c:v>
                </c:pt>
                <c:pt idx="1">
                  <c:v>公务用车购置及运行维护费支出决算0万元</c:v>
                </c:pt>
                <c:pt idx="2">
                  <c:v>公务接待费支出决算0.06万元</c:v>
                </c:pt>
              </c:strCache>
            </c:strRef>
          </c:cat>
          <c:val>
            <c:numRef>
              <c:f>Sheet1!$B$2:$B$4</c:f>
              <c:numCache>
                <c:formatCode>General</c:formatCode>
                <c:ptCount val="3"/>
                <c:pt idx="0">
                  <c:v>0</c:v>
                </c:pt>
                <c:pt idx="1">
                  <c:v>0</c:v>
                </c:pt>
                <c:pt idx="2">
                  <c:v>0.06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33</Pages>
  <Words>10451</Words>
  <Characters>11035</Characters>
  <Lines>4</Lines>
  <Paragraphs>9</Paragraphs>
  <TotalTime>7</TotalTime>
  <ScaleCrop>false</ScaleCrop>
  <LinksUpToDate>false</LinksUpToDate>
  <CharactersWithSpaces>11137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偷影子的人༻</cp:lastModifiedBy>
  <cp:lastPrinted>2023-08-04T02:35:00Z</cp:lastPrinted>
  <dcterms:modified xsi:type="dcterms:W3CDTF">2023-11-02T05:51:09Z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5A24C8E73A524F09AF7FED393B255357_13</vt:lpwstr>
  </property>
</Properties>
</file>