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szCs w:val="21"/>
        </w:rPr>
      </w:pPr>
      <w:bookmarkStart w:id="0"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9443"/>
      <w:bookmarkStart w:id="2" w:name="_Toc15396597"/>
      <w:bookmarkStart w:id="3" w:name="_Toc17111"/>
      <w:bookmarkStart w:id="4" w:name="_Toc15396475"/>
      <w:bookmarkStart w:id="5" w:name="_Toc15377425"/>
      <w:bookmarkStart w:id="6" w:name="_Toc15378441"/>
      <w:bookmarkStart w:id="7" w:name="_Toc26730"/>
      <w:bookmarkStart w:id="8" w:name="_Toc6764"/>
      <w:bookmarkStart w:id="9" w:name="_Toc1537719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bookmarkEnd w:id="7"/>
      <w:bookmarkEnd w:id="8"/>
      <w:bookmarkEnd w:id="9"/>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0" w:name="_Toc15377426"/>
      <w:bookmarkStart w:id="11" w:name="_Toc15377194"/>
      <w:bookmarkStart w:id="12" w:name="_Toc15396476"/>
      <w:bookmarkStart w:id="13" w:name="_Toc22752"/>
      <w:bookmarkStart w:id="14" w:name="_Toc30125"/>
      <w:bookmarkStart w:id="15" w:name="_Toc26952"/>
      <w:bookmarkStart w:id="16" w:name="_Toc15378442"/>
      <w:bookmarkStart w:id="17" w:name="_Toc15396598"/>
      <w:bookmarkStart w:id="18" w:name="_Toc19794"/>
      <w:r>
        <w:rPr>
          <w:rFonts w:hint="eastAsia" w:ascii="方正小标宋简体" w:hAnsi="方正小标宋简体" w:eastAsia="方正小标宋简体" w:cs="方正小标宋简体"/>
          <w:sz w:val="72"/>
          <w:szCs w:val="72"/>
        </w:rPr>
        <w:t>广元市</w:t>
      </w:r>
      <w:bookmarkEnd w:id="0"/>
      <w:bookmarkStart w:id="19" w:name="_Toc15306268"/>
      <w:r>
        <w:rPr>
          <w:rFonts w:hint="eastAsia" w:ascii="方正小标宋简体" w:hAnsi="方正小标宋简体" w:eastAsia="方正小标宋简体" w:cs="方正小标宋简体"/>
          <w:sz w:val="72"/>
          <w:szCs w:val="72"/>
        </w:rPr>
        <w:t>人力资源和社会保障局单位决算</w:t>
      </w:r>
      <w:bookmarkEnd w:id="10"/>
      <w:bookmarkEnd w:id="11"/>
      <w:bookmarkEnd w:id="12"/>
      <w:bookmarkEnd w:id="13"/>
      <w:bookmarkEnd w:id="14"/>
      <w:bookmarkEnd w:id="15"/>
      <w:bookmarkEnd w:id="16"/>
      <w:bookmarkEnd w:id="17"/>
      <w:bookmarkEnd w:id="18"/>
      <w:bookmarkEnd w:id="19"/>
    </w:p>
    <w:p>
      <w:pPr>
        <w:widowControl/>
        <w:jc w:val="center"/>
        <w:rPr>
          <w:rFonts w:hint="eastAsia" w:ascii="黑体" w:hAnsi="黑体" w:eastAsia="黑体"/>
          <w:sz w:val="48"/>
          <w:szCs w:val="48"/>
        </w:rPr>
        <w:sectPr>
          <w:headerReference r:id="rId3"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stheme="minorBidi"/>
          <w:sz w:val="28"/>
          <w:szCs w:val="28"/>
        </w:rPr>
      </w:pPr>
      <w:r>
        <w:rPr>
          <w:rFonts w:hint="eastAsia" w:ascii="黑体" w:hAnsi="黑体" w:eastAsia="黑体"/>
          <w:sz w:val="48"/>
          <w:szCs w:val="48"/>
        </w:rPr>
        <w:t>目录</w:t>
      </w:r>
      <w:bookmarkStart w:id="185" w:name="_GoBack"/>
      <w:bookmarkEnd w:id="185"/>
    </w:p>
    <w:p>
      <w:pPr>
        <w:pStyle w:val="11"/>
        <w:adjustRightInd w:val="0"/>
        <w:snapToGrid w:val="0"/>
        <w:spacing w:before="0" w:line="440" w:lineRule="exact"/>
        <w:jc w:val="center"/>
      </w:pPr>
      <w:r>
        <w:rPr>
          <w:rFonts w:hint="eastAsia"/>
        </w:rPr>
        <w:t>公开时间：2023年10 月</w:t>
      </w:r>
      <w:r>
        <w:rPr>
          <w:rFonts w:hint="eastAsia"/>
          <w:lang w:val="en-US" w:eastAsia="zh-CN"/>
        </w:rPr>
        <w:t>16</w:t>
      </w:r>
      <w:r>
        <w:rPr>
          <w:rFonts w:hint="eastAsia"/>
        </w:rPr>
        <w:t>日</w:t>
      </w:r>
    </w:p>
    <w:sdt>
      <w:sdtPr>
        <w:rPr>
          <w:rFonts w:ascii="宋体" w:hAnsi="宋体" w:eastAsia="宋体" w:cs="Times New Roman"/>
          <w:kern w:val="2"/>
          <w:sz w:val="21"/>
          <w:szCs w:val="24"/>
          <w:lang w:val="en-US" w:eastAsia="zh-CN" w:bidi="ar-SA"/>
        </w:rPr>
        <w:id w:val="147466916"/>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rPr>
          </w:pPr>
          <w:bookmarkStart w:id="20" w:name="_Toc9285"/>
          <w:bookmarkStart w:id="21" w:name="_Toc20390"/>
          <w:r>
            <w:fldChar w:fldCharType="begin"/>
          </w:r>
          <w:r>
            <w:instrText xml:space="preserve">TOC \o "1-2" \h \u </w:instrText>
          </w:r>
          <w:r>
            <w:fldChar w:fldCharType="separate"/>
          </w:r>
        </w:p>
        <w:p>
          <w:pPr>
            <w:pStyle w:val="33"/>
            <w:tabs>
              <w:tab w:val="right" w:leader="dot" w:pos="8845"/>
            </w:tabs>
            <w:rPr>
              <w:b/>
            </w:rPr>
          </w:pPr>
          <w:r>
            <w:rPr>
              <w:b/>
            </w:rPr>
            <w:fldChar w:fldCharType="begin"/>
          </w:r>
          <w:r>
            <w:rPr>
              <w:b/>
            </w:rPr>
            <w:instrText xml:space="preserve"> HYPERLINK \l _Toc28268 </w:instrText>
          </w:r>
          <w:r>
            <w:rPr>
              <w:b/>
            </w:rPr>
            <w:fldChar w:fldCharType="separate"/>
          </w:r>
          <w:r>
            <w:rPr>
              <w:rFonts w:hint="eastAsia"/>
              <w:b/>
            </w:rPr>
            <w:t xml:space="preserve">第一部分 </w:t>
          </w:r>
          <w:r>
            <w:rPr>
              <w:rFonts w:hint="eastAsia" w:ascii="黑体" w:hAnsi="黑体" w:eastAsia="黑体"/>
              <w:b/>
            </w:rPr>
            <w:t>单位</w:t>
          </w:r>
          <w:r>
            <w:rPr>
              <w:rFonts w:hint="eastAsia" w:ascii="黑体" w:hAnsi="黑体" w:eastAsia="黑体"/>
              <w:b/>
              <w:bCs w:val="0"/>
            </w:rPr>
            <w:t>概况</w:t>
          </w:r>
          <w:r>
            <w:rPr>
              <w:b/>
            </w:rPr>
            <w:tab/>
          </w:r>
          <w:r>
            <w:rPr>
              <w:b/>
            </w:rPr>
            <w:fldChar w:fldCharType="begin"/>
          </w:r>
          <w:r>
            <w:rPr>
              <w:b/>
            </w:rPr>
            <w:instrText xml:space="preserve"> PAGEREF _Toc28268 \h </w:instrText>
          </w:r>
          <w:r>
            <w:rPr>
              <w:b/>
            </w:rPr>
            <w:fldChar w:fldCharType="separate"/>
          </w:r>
          <w:r>
            <w:rPr>
              <w:b/>
            </w:rPr>
            <w:t>1</w:t>
          </w:r>
          <w:r>
            <w:rPr>
              <w:b/>
            </w:rPr>
            <w:fldChar w:fldCharType="end"/>
          </w:r>
          <w:r>
            <w:rPr>
              <w:b/>
            </w:rPr>
            <w:fldChar w:fldCharType="end"/>
          </w:r>
        </w:p>
        <w:p>
          <w:pPr>
            <w:pStyle w:val="34"/>
            <w:tabs>
              <w:tab w:val="right" w:leader="dot" w:pos="8845"/>
            </w:tabs>
          </w:pPr>
          <w:r>
            <w:fldChar w:fldCharType="begin"/>
          </w:r>
          <w:r>
            <w:instrText xml:space="preserve"> HYPERLINK \l _Toc8333 </w:instrText>
          </w:r>
          <w:r>
            <w:fldChar w:fldCharType="separate"/>
          </w:r>
          <w:r>
            <w:rPr>
              <w:rFonts w:hint="eastAsia" w:ascii="黑体" w:hAnsi="黑体" w:eastAsia="黑体"/>
              <w:bCs w:val="0"/>
            </w:rPr>
            <w:t>一、主要职责</w:t>
          </w:r>
          <w:r>
            <w:tab/>
          </w:r>
          <w:r>
            <w:fldChar w:fldCharType="begin"/>
          </w:r>
          <w:r>
            <w:instrText xml:space="preserve"> PAGEREF _Toc8333 \h </w:instrText>
          </w:r>
          <w:r>
            <w:fldChar w:fldCharType="separate"/>
          </w:r>
          <w:r>
            <w:t>1</w:t>
          </w:r>
          <w:r>
            <w:fldChar w:fldCharType="end"/>
          </w:r>
          <w:r>
            <w:fldChar w:fldCharType="end"/>
          </w:r>
        </w:p>
        <w:p>
          <w:pPr>
            <w:pStyle w:val="34"/>
            <w:tabs>
              <w:tab w:val="right" w:leader="dot" w:pos="8845"/>
            </w:tabs>
          </w:pPr>
          <w:r>
            <w:fldChar w:fldCharType="begin"/>
          </w:r>
          <w:r>
            <w:instrText xml:space="preserve"> HYPERLINK \l _Toc16750 </w:instrText>
          </w:r>
          <w:r>
            <w:fldChar w:fldCharType="separate"/>
          </w:r>
          <w:r>
            <w:rPr>
              <w:rFonts w:hint="eastAsia" w:ascii="黑体" w:hAnsi="黑体" w:eastAsia="黑体"/>
            </w:rPr>
            <w:t>二、机构设置</w:t>
          </w:r>
          <w:r>
            <w:tab/>
          </w:r>
          <w:r>
            <w:fldChar w:fldCharType="begin"/>
          </w:r>
          <w:r>
            <w:instrText xml:space="preserve"> PAGEREF _Toc16750 \h </w:instrText>
          </w:r>
          <w:r>
            <w:fldChar w:fldCharType="separate"/>
          </w:r>
          <w:r>
            <w:t>4</w:t>
          </w:r>
          <w:r>
            <w:fldChar w:fldCharType="end"/>
          </w:r>
          <w:r>
            <w:fldChar w:fldCharType="end"/>
          </w:r>
        </w:p>
        <w:p>
          <w:pPr>
            <w:pStyle w:val="33"/>
            <w:tabs>
              <w:tab w:val="right" w:leader="dot" w:pos="8845"/>
            </w:tabs>
            <w:rPr>
              <w:b/>
            </w:rPr>
          </w:pPr>
          <w:r>
            <w:rPr>
              <w:b/>
            </w:rPr>
            <w:fldChar w:fldCharType="begin"/>
          </w:r>
          <w:r>
            <w:rPr>
              <w:b/>
            </w:rPr>
            <w:instrText xml:space="preserve"> HYPERLINK \l _Toc1324 </w:instrText>
          </w:r>
          <w:r>
            <w:rPr>
              <w:b/>
            </w:rPr>
            <w:fldChar w:fldCharType="separate"/>
          </w:r>
          <w:r>
            <w:rPr>
              <w:rFonts w:hint="eastAsia" w:ascii="黑体" w:hAnsi="黑体" w:eastAsia="黑体"/>
              <w:b/>
            </w:rPr>
            <w:t>第二部分 2022年度</w:t>
          </w:r>
          <w:r>
            <w:rPr>
              <w:rFonts w:hint="eastAsia" w:ascii="黑体" w:hAnsi="黑体" w:eastAsia="黑体"/>
              <w:b/>
              <w:bCs/>
            </w:rPr>
            <w:t>单位决算情况说明</w:t>
          </w:r>
          <w:r>
            <w:rPr>
              <w:b/>
            </w:rPr>
            <w:tab/>
          </w:r>
          <w:r>
            <w:rPr>
              <w:b/>
            </w:rPr>
            <w:fldChar w:fldCharType="begin"/>
          </w:r>
          <w:r>
            <w:rPr>
              <w:b/>
            </w:rPr>
            <w:instrText xml:space="preserve"> PAGEREF _Toc1324 \h </w:instrText>
          </w:r>
          <w:r>
            <w:rPr>
              <w:b/>
            </w:rPr>
            <w:fldChar w:fldCharType="separate"/>
          </w:r>
          <w:r>
            <w:rPr>
              <w:b/>
            </w:rPr>
            <w:t>5</w:t>
          </w:r>
          <w:r>
            <w:rPr>
              <w:b/>
            </w:rPr>
            <w:fldChar w:fldCharType="end"/>
          </w:r>
          <w:r>
            <w:rPr>
              <w:b/>
            </w:rPr>
            <w:fldChar w:fldCharType="end"/>
          </w:r>
        </w:p>
        <w:p>
          <w:pPr>
            <w:pStyle w:val="34"/>
            <w:tabs>
              <w:tab w:val="right" w:leader="dot" w:pos="8845"/>
            </w:tabs>
          </w:pPr>
          <w:r>
            <w:fldChar w:fldCharType="begin"/>
          </w:r>
          <w:r>
            <w:instrText xml:space="preserve"> HYPERLINK \l _Toc8768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_Toc8768 \h </w:instrText>
          </w:r>
          <w:r>
            <w:fldChar w:fldCharType="separate"/>
          </w:r>
          <w:r>
            <w:t>5</w:t>
          </w:r>
          <w:r>
            <w:fldChar w:fldCharType="end"/>
          </w:r>
          <w:r>
            <w:fldChar w:fldCharType="end"/>
          </w:r>
        </w:p>
        <w:p>
          <w:pPr>
            <w:pStyle w:val="34"/>
            <w:tabs>
              <w:tab w:val="right" w:leader="dot" w:pos="8845"/>
            </w:tabs>
          </w:pPr>
          <w:r>
            <w:fldChar w:fldCharType="begin"/>
          </w:r>
          <w:r>
            <w:instrText xml:space="preserve"> HYPERLINK \l _Toc16326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_Toc16326 \h </w:instrText>
          </w:r>
          <w:r>
            <w:fldChar w:fldCharType="separate"/>
          </w:r>
          <w:r>
            <w:t>5</w:t>
          </w:r>
          <w:r>
            <w:fldChar w:fldCharType="end"/>
          </w:r>
          <w:r>
            <w:fldChar w:fldCharType="end"/>
          </w:r>
        </w:p>
        <w:p>
          <w:pPr>
            <w:pStyle w:val="34"/>
            <w:tabs>
              <w:tab w:val="right" w:leader="dot" w:pos="8845"/>
            </w:tabs>
          </w:pPr>
          <w:r>
            <w:fldChar w:fldCharType="begin"/>
          </w:r>
          <w:r>
            <w:instrText xml:space="preserve"> HYPERLINK \l _Toc20660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_Toc20660 \h </w:instrText>
          </w:r>
          <w:r>
            <w:fldChar w:fldCharType="separate"/>
          </w:r>
          <w:r>
            <w:t>5</w:t>
          </w:r>
          <w:r>
            <w:fldChar w:fldCharType="end"/>
          </w:r>
          <w:r>
            <w:fldChar w:fldCharType="end"/>
          </w:r>
        </w:p>
        <w:p>
          <w:pPr>
            <w:pStyle w:val="34"/>
            <w:tabs>
              <w:tab w:val="right" w:leader="dot" w:pos="8845"/>
            </w:tabs>
          </w:pPr>
          <w:r>
            <w:fldChar w:fldCharType="begin"/>
          </w:r>
          <w:r>
            <w:instrText xml:space="preserve"> HYPERLINK \l _Toc898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_Toc898 \h </w:instrText>
          </w:r>
          <w:r>
            <w:fldChar w:fldCharType="separate"/>
          </w:r>
          <w:r>
            <w:t>6</w:t>
          </w:r>
          <w:r>
            <w:fldChar w:fldCharType="end"/>
          </w:r>
          <w:r>
            <w:fldChar w:fldCharType="end"/>
          </w:r>
        </w:p>
        <w:p>
          <w:pPr>
            <w:pStyle w:val="34"/>
            <w:tabs>
              <w:tab w:val="right" w:leader="dot" w:pos="8845"/>
            </w:tabs>
          </w:pPr>
          <w:r>
            <w:fldChar w:fldCharType="begin"/>
          </w:r>
          <w:r>
            <w:instrText xml:space="preserve"> HYPERLINK \l _Toc6940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_Toc6940 \h </w:instrText>
          </w:r>
          <w:r>
            <w:fldChar w:fldCharType="separate"/>
          </w:r>
          <w:r>
            <w:t>6</w:t>
          </w:r>
          <w:r>
            <w:fldChar w:fldCharType="end"/>
          </w:r>
          <w:r>
            <w:fldChar w:fldCharType="end"/>
          </w:r>
        </w:p>
        <w:p>
          <w:pPr>
            <w:pStyle w:val="34"/>
            <w:tabs>
              <w:tab w:val="right" w:leader="dot" w:pos="8845"/>
            </w:tabs>
          </w:pPr>
          <w:r>
            <w:fldChar w:fldCharType="begin"/>
          </w:r>
          <w:r>
            <w:instrText xml:space="preserve"> HYPERLINK \l _Toc26815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_Toc26815 \h </w:instrText>
          </w:r>
          <w:r>
            <w:fldChar w:fldCharType="separate"/>
          </w:r>
          <w:r>
            <w:t>9</w:t>
          </w:r>
          <w:r>
            <w:fldChar w:fldCharType="end"/>
          </w:r>
          <w:r>
            <w:fldChar w:fldCharType="end"/>
          </w:r>
        </w:p>
        <w:p>
          <w:pPr>
            <w:pStyle w:val="34"/>
            <w:tabs>
              <w:tab w:val="right" w:leader="dot" w:pos="8845"/>
            </w:tabs>
          </w:pPr>
          <w:r>
            <w:fldChar w:fldCharType="begin"/>
          </w:r>
          <w:r>
            <w:instrText xml:space="preserve"> HYPERLINK \l _Toc21237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_Toc21237 \h </w:instrText>
          </w:r>
          <w:r>
            <w:fldChar w:fldCharType="separate"/>
          </w:r>
          <w:r>
            <w:t>10</w:t>
          </w:r>
          <w:r>
            <w:fldChar w:fldCharType="end"/>
          </w:r>
          <w:r>
            <w:fldChar w:fldCharType="end"/>
          </w:r>
        </w:p>
        <w:p>
          <w:pPr>
            <w:pStyle w:val="34"/>
            <w:tabs>
              <w:tab w:val="right" w:leader="dot" w:pos="8845"/>
            </w:tabs>
          </w:pPr>
          <w:r>
            <w:fldChar w:fldCharType="begin"/>
          </w:r>
          <w:r>
            <w:instrText xml:space="preserve"> HYPERLINK \l _Toc9938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_Toc9938 \h </w:instrText>
          </w:r>
          <w:r>
            <w:fldChar w:fldCharType="separate"/>
          </w:r>
          <w:r>
            <w:t>12</w:t>
          </w:r>
          <w:r>
            <w:fldChar w:fldCharType="end"/>
          </w:r>
          <w:r>
            <w:fldChar w:fldCharType="end"/>
          </w:r>
        </w:p>
        <w:p>
          <w:pPr>
            <w:pStyle w:val="34"/>
            <w:tabs>
              <w:tab w:val="right" w:leader="dot" w:pos="8845"/>
            </w:tabs>
          </w:pPr>
          <w:r>
            <w:fldChar w:fldCharType="begin"/>
          </w:r>
          <w:r>
            <w:instrText xml:space="preserve"> HYPERLINK \l _Toc15595 </w:instrText>
          </w:r>
          <w:r>
            <w:fldChar w:fldCharType="separate"/>
          </w:r>
          <w:r>
            <w:rPr>
              <w:rFonts w:hint="eastAsia" w:ascii="黑体" w:hAnsi="黑体" w:eastAsia="黑体"/>
            </w:rPr>
            <w:t>九、 国有资本经营预算支出决算情况说明</w:t>
          </w:r>
          <w:r>
            <w:tab/>
          </w:r>
          <w:r>
            <w:fldChar w:fldCharType="begin"/>
          </w:r>
          <w:r>
            <w:instrText xml:space="preserve"> PAGEREF _Toc15595 \h </w:instrText>
          </w:r>
          <w:r>
            <w:fldChar w:fldCharType="separate"/>
          </w:r>
          <w:r>
            <w:t>12</w:t>
          </w:r>
          <w:r>
            <w:fldChar w:fldCharType="end"/>
          </w:r>
          <w:r>
            <w:fldChar w:fldCharType="end"/>
          </w:r>
        </w:p>
        <w:p>
          <w:pPr>
            <w:pStyle w:val="34"/>
            <w:tabs>
              <w:tab w:val="right" w:leader="dot" w:pos="8845"/>
            </w:tabs>
          </w:pPr>
          <w:r>
            <w:fldChar w:fldCharType="begin"/>
          </w:r>
          <w:r>
            <w:instrText xml:space="preserve"> HYPERLINK \l _Toc10757 </w:instrText>
          </w:r>
          <w:r>
            <w:fldChar w:fldCharType="separate"/>
          </w:r>
          <w:r>
            <w:rPr>
              <w:rFonts w:hint="eastAsia" w:ascii="黑体" w:hAnsi="黑体" w:eastAsia="黑体"/>
            </w:rPr>
            <w:t>十、 其他重要事项的情况说明</w:t>
          </w:r>
          <w:r>
            <w:tab/>
          </w:r>
          <w:r>
            <w:fldChar w:fldCharType="begin"/>
          </w:r>
          <w:r>
            <w:instrText xml:space="preserve"> PAGEREF _Toc10757 \h </w:instrText>
          </w:r>
          <w:r>
            <w:fldChar w:fldCharType="separate"/>
          </w:r>
          <w:r>
            <w:t>12</w:t>
          </w:r>
          <w:r>
            <w:fldChar w:fldCharType="end"/>
          </w:r>
          <w:r>
            <w:fldChar w:fldCharType="end"/>
          </w:r>
        </w:p>
        <w:p>
          <w:pPr>
            <w:pStyle w:val="33"/>
            <w:tabs>
              <w:tab w:val="right" w:leader="dot" w:pos="8845"/>
            </w:tabs>
            <w:rPr>
              <w:b/>
            </w:rPr>
          </w:pPr>
          <w:r>
            <w:rPr>
              <w:b/>
            </w:rPr>
            <w:fldChar w:fldCharType="begin"/>
          </w:r>
          <w:r>
            <w:rPr>
              <w:b/>
            </w:rPr>
            <w:instrText xml:space="preserve"> HYPERLINK \l _Toc26423 </w:instrText>
          </w:r>
          <w:r>
            <w:rPr>
              <w:b/>
            </w:rPr>
            <w:fldChar w:fldCharType="separate"/>
          </w:r>
          <w:r>
            <w:rPr>
              <w:rFonts w:hint="eastAsia" w:ascii="黑体" w:hAnsi="黑体" w:eastAsia="黑体" w:cs="黑体"/>
              <w:b/>
              <w:szCs w:val="44"/>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_Toc26423 \h </w:instrText>
          </w:r>
          <w:r>
            <w:rPr>
              <w:b/>
            </w:rPr>
            <w:fldChar w:fldCharType="separate"/>
          </w:r>
          <w:r>
            <w:rPr>
              <w:b/>
            </w:rPr>
            <w:t>14</w:t>
          </w:r>
          <w:r>
            <w:rPr>
              <w:b/>
            </w:rPr>
            <w:fldChar w:fldCharType="end"/>
          </w:r>
          <w:r>
            <w:rPr>
              <w:b/>
            </w:rPr>
            <w:fldChar w:fldCharType="end"/>
          </w:r>
        </w:p>
        <w:p>
          <w:pPr>
            <w:pStyle w:val="33"/>
            <w:tabs>
              <w:tab w:val="right" w:leader="dot" w:pos="8845"/>
            </w:tabs>
            <w:rPr>
              <w:b/>
            </w:rPr>
          </w:pPr>
          <w:r>
            <w:rPr>
              <w:b/>
            </w:rPr>
            <w:fldChar w:fldCharType="begin"/>
          </w:r>
          <w:r>
            <w:rPr>
              <w:b/>
            </w:rPr>
            <w:instrText xml:space="preserve"> HYPERLINK \l _Toc6775 </w:instrText>
          </w:r>
          <w:r>
            <w:rPr>
              <w:b/>
            </w:rPr>
            <w:fldChar w:fldCharType="separate"/>
          </w:r>
          <w:r>
            <w:rPr>
              <w:rFonts w:hint="eastAsia" w:ascii="黑体" w:hAnsi="黑体" w:eastAsia="黑体"/>
              <w:b/>
              <w:szCs w:val="44"/>
            </w:rPr>
            <w:t>第</w:t>
          </w:r>
          <w:r>
            <w:rPr>
              <w:rFonts w:hint="eastAsia" w:ascii="黑体" w:hAnsi="黑体" w:eastAsia="黑体"/>
              <w:b/>
            </w:rPr>
            <w:t>四部分 附件</w:t>
          </w:r>
          <w:r>
            <w:rPr>
              <w:b/>
            </w:rPr>
            <w:tab/>
          </w:r>
          <w:r>
            <w:rPr>
              <w:b/>
            </w:rPr>
            <w:fldChar w:fldCharType="begin"/>
          </w:r>
          <w:r>
            <w:rPr>
              <w:b/>
            </w:rPr>
            <w:instrText xml:space="preserve"> PAGEREF _Toc6775 \h </w:instrText>
          </w:r>
          <w:r>
            <w:rPr>
              <w:b/>
            </w:rPr>
            <w:fldChar w:fldCharType="separate"/>
          </w:r>
          <w:r>
            <w:rPr>
              <w:b/>
            </w:rPr>
            <w:t>18</w:t>
          </w:r>
          <w:r>
            <w:rPr>
              <w:b/>
            </w:rPr>
            <w:fldChar w:fldCharType="end"/>
          </w:r>
          <w:r>
            <w:rPr>
              <w:b/>
            </w:rPr>
            <w:fldChar w:fldCharType="end"/>
          </w:r>
        </w:p>
        <w:p>
          <w:pPr>
            <w:pStyle w:val="33"/>
            <w:tabs>
              <w:tab w:val="right" w:leader="dot" w:pos="8845"/>
            </w:tabs>
            <w:rPr>
              <w:b/>
            </w:rPr>
          </w:pPr>
          <w:r>
            <w:rPr>
              <w:b/>
            </w:rPr>
            <w:fldChar w:fldCharType="begin"/>
          </w:r>
          <w:r>
            <w:rPr>
              <w:b/>
            </w:rPr>
            <w:instrText xml:space="preserve"> HYPERLINK \l _Toc11786 </w:instrText>
          </w:r>
          <w:r>
            <w:rPr>
              <w:b/>
            </w:rPr>
            <w:fldChar w:fldCharType="separate"/>
          </w:r>
          <w:r>
            <w:rPr>
              <w:rFonts w:hint="eastAsia" w:ascii="黑体" w:hAnsi="黑体" w:eastAsia="黑体"/>
              <w:b/>
              <w:lang w:val="en-US" w:eastAsia="zh-CN"/>
            </w:rPr>
            <w:t xml:space="preserve">第五部分 </w:t>
          </w:r>
          <w:r>
            <w:rPr>
              <w:rFonts w:hint="eastAsia" w:ascii="黑体" w:hAnsi="黑体" w:eastAsia="黑体"/>
              <w:b/>
            </w:rPr>
            <w:t>附表</w:t>
          </w:r>
          <w:r>
            <w:rPr>
              <w:b/>
            </w:rPr>
            <w:tab/>
          </w:r>
          <w:r>
            <w:rPr>
              <w:b/>
            </w:rPr>
            <w:fldChar w:fldCharType="begin"/>
          </w:r>
          <w:r>
            <w:rPr>
              <w:b/>
            </w:rPr>
            <w:instrText xml:space="preserve"> PAGEREF _Toc11786 \h </w:instrText>
          </w:r>
          <w:r>
            <w:rPr>
              <w:b/>
            </w:rPr>
            <w:fldChar w:fldCharType="separate"/>
          </w:r>
          <w:r>
            <w:rPr>
              <w:b/>
            </w:rPr>
            <w:t>19</w:t>
          </w:r>
          <w:r>
            <w:rPr>
              <w:b/>
            </w:rPr>
            <w:fldChar w:fldCharType="end"/>
          </w:r>
          <w:r>
            <w:rPr>
              <w:b/>
            </w:rPr>
            <w:fldChar w:fldCharType="end"/>
          </w:r>
        </w:p>
        <w:p>
          <w:pPr>
            <w:pStyle w:val="34"/>
            <w:tabs>
              <w:tab w:val="right" w:leader="dot" w:pos="8845"/>
            </w:tabs>
          </w:pPr>
          <w:r>
            <w:fldChar w:fldCharType="begin"/>
          </w:r>
          <w:r>
            <w:instrText xml:space="preserve"> HYPERLINK \l _Toc6981 </w:instrText>
          </w:r>
          <w:r>
            <w:fldChar w:fldCharType="separate"/>
          </w:r>
          <w:r>
            <w:rPr>
              <w:rFonts w:hint="eastAsia" w:ascii="黑体" w:hAnsi="宋体" w:eastAsia="黑体" w:cs="Times New Roman"/>
              <w:bCs w:val="0"/>
              <w:kern w:val="2"/>
              <w:szCs w:val="32"/>
              <w:highlight w:val="none"/>
              <w:lang w:val="en-US" w:eastAsia="zh-CN" w:bidi="ar-SA"/>
            </w:rPr>
            <w:t>一、收入支出决算总表</w:t>
          </w:r>
          <w:r>
            <w:tab/>
          </w:r>
          <w:r>
            <w:fldChar w:fldCharType="begin"/>
          </w:r>
          <w:r>
            <w:instrText xml:space="preserve"> PAGEREF _Toc6981 \h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_Toc9756 </w:instrText>
          </w:r>
          <w:r>
            <w:fldChar w:fldCharType="separate"/>
          </w:r>
          <w:r>
            <w:rPr>
              <w:rFonts w:hint="eastAsia" w:ascii="黑体" w:hAnsi="宋体" w:eastAsia="黑体" w:cs="Times New Roman"/>
              <w:bCs w:val="0"/>
              <w:kern w:val="2"/>
              <w:szCs w:val="32"/>
              <w:highlight w:val="none"/>
              <w:lang w:val="en-US" w:eastAsia="zh-CN" w:bidi="ar-SA"/>
            </w:rPr>
            <w:t>二、收入决算表</w:t>
          </w:r>
          <w:r>
            <w:tab/>
          </w:r>
          <w:r>
            <w:fldChar w:fldCharType="begin"/>
          </w:r>
          <w:r>
            <w:instrText xml:space="preserve"> PAGEREF _Toc9756 \h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_Toc5101 </w:instrText>
          </w:r>
          <w:r>
            <w:fldChar w:fldCharType="separate"/>
          </w:r>
          <w:r>
            <w:rPr>
              <w:rFonts w:hint="eastAsia" w:ascii="黑体" w:hAnsi="宋体" w:eastAsia="黑体" w:cs="Times New Roman"/>
              <w:bCs w:val="0"/>
              <w:kern w:val="2"/>
              <w:szCs w:val="32"/>
              <w:highlight w:val="none"/>
              <w:lang w:val="en-US" w:eastAsia="zh-CN" w:bidi="ar-SA"/>
            </w:rPr>
            <w:t>三、支出决算表</w:t>
          </w:r>
          <w:r>
            <w:tab/>
          </w:r>
          <w:r>
            <w:fldChar w:fldCharType="begin"/>
          </w:r>
          <w:r>
            <w:instrText xml:space="preserve"> PAGEREF _Toc5101 \h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_Toc19882 </w:instrText>
          </w:r>
          <w:r>
            <w:fldChar w:fldCharType="separate"/>
          </w:r>
          <w:r>
            <w:rPr>
              <w:rFonts w:hint="eastAsia" w:ascii="黑体" w:hAnsi="宋体" w:eastAsia="黑体" w:cs="Times New Roman"/>
              <w:bCs w:val="0"/>
              <w:kern w:val="2"/>
              <w:szCs w:val="32"/>
              <w:highlight w:val="none"/>
              <w:lang w:val="en-US" w:eastAsia="zh-CN" w:bidi="ar-SA"/>
            </w:rPr>
            <w:t>四、财政拨款收入支出决算总表</w:t>
          </w:r>
          <w:r>
            <w:tab/>
          </w:r>
          <w:r>
            <w:fldChar w:fldCharType="begin"/>
          </w:r>
          <w:r>
            <w:instrText xml:space="preserve"> PAGEREF _Toc19882 \h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_Toc19542 </w:instrText>
          </w:r>
          <w:r>
            <w:fldChar w:fldCharType="separate"/>
          </w:r>
          <w:r>
            <w:rPr>
              <w:rFonts w:hint="eastAsia" w:ascii="黑体" w:hAnsi="宋体" w:eastAsia="黑体" w:cs="Times New Roman"/>
              <w:bCs w:val="0"/>
              <w:kern w:val="2"/>
              <w:szCs w:val="32"/>
              <w:highlight w:val="none"/>
              <w:lang w:val="en-US" w:eastAsia="zh-CN" w:bidi="ar-SA"/>
            </w:rPr>
            <w:t>五、财政拨款支出决算明细表</w:t>
          </w:r>
          <w:r>
            <w:tab/>
          </w:r>
          <w:r>
            <w:fldChar w:fldCharType="begin"/>
          </w:r>
          <w:r>
            <w:instrText xml:space="preserve"> PAGEREF _Toc19542 \h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_Toc27734 </w:instrText>
          </w:r>
          <w:r>
            <w:fldChar w:fldCharType="separate"/>
          </w:r>
          <w:r>
            <w:rPr>
              <w:rFonts w:hint="eastAsia" w:ascii="黑体" w:hAnsi="宋体" w:eastAsia="黑体" w:cs="Times New Roman"/>
              <w:bCs w:val="0"/>
              <w:kern w:val="2"/>
              <w:szCs w:val="32"/>
              <w:highlight w:val="none"/>
              <w:lang w:val="en-US" w:eastAsia="zh-CN" w:bidi="ar-SA"/>
            </w:rPr>
            <w:t>六、一般公共预算财政拨款支出决算表</w:t>
          </w:r>
          <w:r>
            <w:tab/>
          </w:r>
          <w:r>
            <w:fldChar w:fldCharType="begin"/>
          </w:r>
          <w:r>
            <w:instrText xml:space="preserve"> PAGEREF _Toc27734 \h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_Toc6460 </w:instrText>
          </w:r>
          <w:r>
            <w:fldChar w:fldCharType="separate"/>
          </w:r>
          <w:r>
            <w:rPr>
              <w:rFonts w:hint="eastAsia" w:ascii="黑体" w:hAnsi="宋体" w:eastAsia="黑体" w:cs="Times New Roman"/>
              <w:bCs w:val="0"/>
              <w:kern w:val="2"/>
              <w:szCs w:val="32"/>
              <w:highlight w:val="none"/>
              <w:lang w:val="en-US" w:eastAsia="zh-CN" w:bidi="ar-SA"/>
            </w:rPr>
            <w:t>七、一般公共预算财政拨款支出决算明细表</w:t>
          </w:r>
          <w:r>
            <w:tab/>
          </w:r>
          <w:r>
            <w:fldChar w:fldCharType="begin"/>
          </w:r>
          <w:r>
            <w:instrText xml:space="preserve"> PAGEREF _Toc6460 \h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_Toc2314 </w:instrText>
          </w:r>
          <w:r>
            <w:fldChar w:fldCharType="separate"/>
          </w:r>
          <w:r>
            <w:rPr>
              <w:rFonts w:hint="eastAsia" w:ascii="黑体" w:hAnsi="宋体" w:eastAsia="黑体" w:cs="Times New Roman"/>
              <w:bCs w:val="0"/>
              <w:kern w:val="2"/>
              <w:szCs w:val="32"/>
              <w:highlight w:val="none"/>
              <w:lang w:val="en-US" w:eastAsia="zh-CN" w:bidi="ar-SA"/>
            </w:rPr>
            <w:t>八、一般公共预算财政拨款基本支出决算表</w:t>
          </w:r>
          <w:r>
            <w:tab/>
          </w:r>
          <w:r>
            <w:fldChar w:fldCharType="begin"/>
          </w:r>
          <w:r>
            <w:instrText xml:space="preserve"> PAGEREF _Toc2314 \h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_Toc16016 </w:instrText>
          </w:r>
          <w:r>
            <w:fldChar w:fldCharType="separate"/>
          </w:r>
          <w:r>
            <w:rPr>
              <w:rFonts w:hint="eastAsia" w:ascii="黑体" w:hAnsi="宋体" w:eastAsia="黑体" w:cs="Times New Roman"/>
              <w:bCs w:val="0"/>
              <w:kern w:val="2"/>
              <w:szCs w:val="32"/>
              <w:highlight w:val="none"/>
              <w:lang w:val="en-US" w:eastAsia="zh-CN" w:bidi="ar-SA"/>
            </w:rPr>
            <w:t>九、一般公共预算财政拨款项目支出决算表</w:t>
          </w:r>
          <w:r>
            <w:tab/>
          </w:r>
          <w:r>
            <w:fldChar w:fldCharType="begin"/>
          </w:r>
          <w:r>
            <w:instrText xml:space="preserve"> PAGEREF _Toc16016 \h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_Toc5594 </w:instrText>
          </w:r>
          <w:r>
            <w:fldChar w:fldCharType="separate"/>
          </w:r>
          <w:r>
            <w:rPr>
              <w:rFonts w:hint="eastAsia" w:ascii="黑体" w:hAnsi="宋体" w:eastAsia="黑体" w:cs="Times New Roman"/>
              <w:bCs w:val="0"/>
              <w:kern w:val="2"/>
              <w:szCs w:val="32"/>
              <w:highlight w:val="none"/>
              <w:lang w:val="en-US" w:eastAsia="zh-CN" w:bidi="ar-SA"/>
            </w:rPr>
            <w:t>十、政府性基金预算财政拨款收入支出决算表</w:t>
          </w:r>
          <w:r>
            <w:tab/>
          </w:r>
          <w:r>
            <w:fldChar w:fldCharType="begin"/>
          </w:r>
          <w:r>
            <w:instrText xml:space="preserve"> PAGEREF _Toc5594 \h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_Toc21597 </w:instrText>
          </w:r>
          <w:r>
            <w:fldChar w:fldCharType="separate"/>
          </w:r>
          <w:r>
            <w:rPr>
              <w:rFonts w:hint="eastAsia" w:ascii="黑体" w:hAnsi="宋体" w:eastAsia="黑体" w:cs="Times New Roman"/>
              <w:bCs w:val="0"/>
              <w:kern w:val="2"/>
              <w:szCs w:val="32"/>
              <w:highlight w:val="none"/>
              <w:lang w:val="en-US" w:eastAsia="zh-CN" w:bidi="ar-SA"/>
            </w:rPr>
            <w:t>十一、国有资本经营预算财政拨款收入支出决算表</w:t>
          </w:r>
          <w:r>
            <w:tab/>
          </w:r>
          <w:r>
            <w:fldChar w:fldCharType="begin"/>
          </w:r>
          <w:r>
            <w:instrText xml:space="preserve"> PAGEREF _Toc21597 \h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_Toc2017 </w:instrText>
          </w:r>
          <w:r>
            <w:fldChar w:fldCharType="separate"/>
          </w:r>
          <w:r>
            <w:rPr>
              <w:rFonts w:hint="eastAsia" w:ascii="黑体" w:hAnsi="宋体" w:eastAsia="黑体" w:cs="Times New Roman"/>
              <w:bCs w:val="0"/>
              <w:kern w:val="2"/>
              <w:szCs w:val="32"/>
              <w:highlight w:val="none"/>
              <w:lang w:val="en-US" w:eastAsia="zh-CN" w:bidi="ar-SA"/>
            </w:rPr>
            <w:t>十二、国有资本经营预算财政拨款支出决算表</w:t>
          </w:r>
          <w:r>
            <w:tab/>
          </w:r>
          <w:r>
            <w:fldChar w:fldCharType="begin"/>
          </w:r>
          <w:r>
            <w:instrText xml:space="preserve"> PAGEREF _Toc2017 \h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_Toc11169 </w:instrText>
          </w:r>
          <w:r>
            <w:fldChar w:fldCharType="separate"/>
          </w:r>
          <w:r>
            <w:rPr>
              <w:rFonts w:hint="eastAsia" w:ascii="黑体" w:hAnsi="宋体" w:eastAsia="黑体" w:cs="Times New Roman"/>
              <w:bCs w:val="0"/>
              <w:kern w:val="2"/>
              <w:szCs w:val="32"/>
              <w:highlight w:val="none"/>
              <w:lang w:val="en-US" w:eastAsia="zh-CN" w:bidi="ar-SA"/>
            </w:rPr>
            <w:t>十三、财政拨款“三公”经费支出决算表</w:t>
          </w:r>
          <w:r>
            <w:tab/>
          </w:r>
          <w:r>
            <w:fldChar w:fldCharType="begin"/>
          </w:r>
          <w:r>
            <w:instrText xml:space="preserve"> PAGEREF _Toc11169 \h </w:instrText>
          </w:r>
          <w:r>
            <w:fldChar w:fldCharType="separate"/>
          </w:r>
          <w:r>
            <w:t>19</w:t>
          </w:r>
          <w:r>
            <w:fldChar w:fldCharType="end"/>
          </w:r>
          <w:r>
            <w:fldChar w:fldCharType="end"/>
          </w:r>
        </w:p>
        <w:p>
          <w:r>
            <w:rPr>
              <w:b/>
            </w:rPr>
            <w:fldChar w:fldCharType="end"/>
          </w:r>
        </w:p>
      </w:sdtContent>
    </w:sdt>
    <w:p>
      <w:pPr>
        <w:pStyle w:val="3"/>
        <w:numPr>
          <w:ilvl w:val="0"/>
          <w:numId w:val="1"/>
        </w:numPr>
        <w:spacing w:line="576" w:lineRule="exact"/>
        <w:jc w:val="center"/>
        <w:sectPr>
          <w:footerReference r:id="rId4" w:type="default"/>
          <w:pgSz w:w="11906" w:h="16838"/>
          <w:pgMar w:top="2098" w:right="1474" w:bottom="1984" w:left="1587" w:header="851" w:footer="1559" w:gutter="0"/>
          <w:pgNumType w:fmt="decimal" w:start="1"/>
          <w:cols w:space="425" w:num="1"/>
          <w:docGrid w:type="lines" w:linePitch="312" w:charSpace="0"/>
        </w:sectPr>
      </w:pPr>
      <w:bookmarkStart w:id="22" w:name="_Toc28268"/>
    </w:p>
    <w:p>
      <w:pPr>
        <w:pStyle w:val="3"/>
        <w:numPr>
          <w:ilvl w:val="0"/>
          <w:numId w:val="1"/>
        </w:numPr>
        <w:spacing w:line="576" w:lineRule="exact"/>
        <w:jc w:val="center"/>
      </w:pPr>
      <w:r>
        <w:rPr>
          <w:rFonts w:hint="eastAsia" w:ascii="黑体" w:hAnsi="黑体" w:eastAsia="黑体"/>
          <w:b w:val="0"/>
        </w:rPr>
        <w:t>单位</w:t>
      </w:r>
      <w:r>
        <w:rPr>
          <w:rStyle w:val="19"/>
          <w:rFonts w:hint="eastAsia" w:ascii="黑体" w:hAnsi="黑体" w:eastAsia="黑体"/>
          <w:b w:val="0"/>
          <w:bCs w:val="0"/>
        </w:rPr>
        <w:t>概况</w:t>
      </w:r>
      <w:bookmarkEnd w:id="20"/>
      <w:bookmarkEnd w:id="21"/>
      <w:bookmarkEnd w:id="22"/>
    </w:p>
    <w:p>
      <w:pPr>
        <w:pStyle w:val="4"/>
        <w:spacing w:line="576" w:lineRule="exact"/>
        <w:ind w:firstLine="640" w:firstLineChars="200"/>
        <w:rPr>
          <w:rStyle w:val="20"/>
          <w:rFonts w:ascii="黑体" w:hAnsi="黑体" w:eastAsia="黑体"/>
          <w:b w:val="0"/>
          <w:bCs w:val="0"/>
        </w:rPr>
      </w:pPr>
      <w:bookmarkStart w:id="23" w:name="_Toc29982"/>
      <w:bookmarkStart w:id="24" w:name="_Toc27938"/>
      <w:bookmarkStart w:id="25" w:name="_Toc8333"/>
      <w:bookmarkStart w:id="26" w:name="_Toc15377197"/>
      <w:bookmarkStart w:id="27" w:name="_Toc15396600"/>
      <w:r>
        <w:rPr>
          <w:rStyle w:val="20"/>
          <w:rFonts w:hint="eastAsia" w:ascii="黑体" w:hAnsi="黑体" w:eastAsia="黑体"/>
          <w:b w:val="0"/>
          <w:bCs w:val="0"/>
        </w:rPr>
        <w:t>一、主要职责</w:t>
      </w:r>
      <w:bookmarkEnd w:id="23"/>
      <w:bookmarkEnd w:id="24"/>
      <w:bookmarkEnd w:id="25"/>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（一）拟订全市人力资源和社会保障事业发展规划、政策并组织实施和监督检查。起草地方性法规、规章草案。</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（二）拟订全市人力资源市场发展规划和人力资源流动政策并组织实施，建立全市统一规范的人力资源市场，促进人力资源合理流动、有效配置。</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负责促进就业工作，拟订统筹城乡的就业发展规划和政策，完善公共就业创业服务体系，拟订并组织落实创业、就业援助制度，完善职业资格制度，统筹建立面向城乡劳动者的职业培训制度，牵头拟订并实施高校毕业生就业政策。</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统筹建立覆盖城乡的多层次社会保障体系。拟订社会保险政策和标准。贯彻落实养老保险全国统筹办法和全国统一的养老、失业、工伤保险关系转续办法。组织拟订基本养老、企业年金、职业年金、失业、工伤保险基金管理和监督制度，编制全市社会保险基金预决算草案，参与制定全市社会保障基金投资政策。会同有关部门实施全民参保计划。拟订人力资源和社会保障信息化建设总体规划、年度计划，制订相关制度、标准和规范并组织实施。指导、督促企业参加工伤保险。</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（五）负责就业、失业和相关社会保险基金预测预警和信息引导，拟订应对预案，实施预防、调节和控制，保持就业形势稳定和社会保险基金总体收支平衡。</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统筹拟订劳动人事争议调解仲裁制度，完善劳动关系协调机制，拟订职工工作时间、休息休假和假期制度，拟订消除非法使用童工政策和女工、未成年工的特殊劳动保护措施。依法督促用人单位在劳动用工、合同签订与履约时，载明劳动保护、劳动条件和职业危害防护等条款。组织实施劳动监察，协调劳动者维权工作，依法查处重大案件。</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牵头推进深化职称制度改革，拟订专业技术人员管理、继续教育和博士后管理等政策，负责高层次专业技术人才选拔和培养工作，拟订吸引国（境）外专家、留学人员来广（回广）工作或定居政策。组织拟订技能人才培养、评价、使用和激励制度。贯彻落实职业资格制度，健全职业技能多元化评价政策。指导、监督各级各类技工学校、民办职业培训机构按国家和省有关规定履行安全管理责任。</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八）会同有关部门指导事业单位人事制度改革，按照管理权限负责规范事业单位岗位设置、公开招聘、聘用合同等人事综合管理工作，拟订事业单位人员和机关工勤人员管理政策，将安全生产责任履行情况作为事业单位工作人员奖惩、考核的重要内容。</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（九）贯彻执行事业单位人员工资收入分配政策和企业职工工资收入分配调控政策，贯彻落实企事业单位人员工资正常增长和支付保障政策，贯彻执行企事业单位人员福利和离退休政策。</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（十）组织实施国家表彰奖励制度，综合管理政府奖励表彰工作，承担评比达标表彰等工作，根据授权承办以市委、市政府名义开展的奖励表彰活动。承办提请市人大常委会和市政府决定的人事任免事项。</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（十一）贯彻执行农民工工作相关政策和规划，协调解决重点难点问题，维护农民工合法权益。负责将安全生产纳入农民工技能培训内容。</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（十二）负责人力资源和社会保障领域内的对外交流与合作工作。</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（十三）承担职责范围内的安全生产和职业健康、生态环境保护、审批服务便民化等工作。</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（十四）完成市委、市政府交办的其他事项。</w:t>
      </w:r>
    </w:p>
    <w:p>
      <w:pPr>
        <w:pStyle w:val="2"/>
        <w:adjustRightInd w:val="0"/>
        <w:snapToGrid w:val="0"/>
        <w:spacing w:before="93" w:line="576" w:lineRule="exact"/>
        <w:ind w:firstLine="640" w:firstLineChars="200"/>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五）职能转变。深入推进简政放权、放管结合、优化服务改革，进一步减少行政审批事项，规范和优化对外办理事项，贯彻落实国家职业资格目录清单管理制度，加强事中事后监管，创新就业和社会保障等公共服务方式，加强信息共享，提高公共服务水平。</w:t>
      </w:r>
    </w:p>
    <w:p>
      <w:pPr>
        <w:pStyle w:val="2"/>
        <w:adjustRightInd w:val="0"/>
        <w:snapToGrid w:val="0"/>
        <w:spacing w:before="93" w:line="576"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十六）有关职责分工。高校毕业生就业政策由市人力资源社会保障局牵头，会同教育等部门拟订。高校毕业生离校前的就业指导和服务工作，由教育部门负责；高校毕业生离校后的就业指导和服务工作，由市人力资源社会保障局负责。</w:t>
      </w:r>
    </w:p>
    <w:p>
      <w:pPr>
        <w:pStyle w:val="4"/>
        <w:spacing w:line="576" w:lineRule="exact"/>
        <w:ind w:firstLine="640" w:firstLineChars="200"/>
        <w:rPr>
          <w:rFonts w:ascii="黑体" w:hAnsi="黑体" w:eastAsia="黑体"/>
          <w:b w:val="0"/>
        </w:rPr>
      </w:pPr>
      <w:bookmarkStart w:id="28" w:name="_Toc3435"/>
      <w:bookmarkStart w:id="29" w:name="_Toc16750"/>
      <w:bookmarkStart w:id="30" w:name="_Toc18930"/>
      <w:r>
        <w:rPr>
          <w:rFonts w:hint="eastAsia" w:ascii="黑体" w:hAnsi="黑体" w:eastAsia="黑体"/>
          <w:b w:val="0"/>
        </w:rPr>
        <w:t>二、机构设置</w:t>
      </w:r>
      <w:bookmarkEnd w:id="28"/>
      <w:bookmarkEnd w:id="29"/>
      <w:bookmarkEnd w:id="30"/>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元市人力资源和社会保障局（本级）属于行政单位，内设机关党委及20个科室（办公室、政策法规科、规划财务科、就业促进与失业保险科、人力资源流动科、职业能力建设科、专业技术人员管理科、事业单位人事管理科、工资福利科、农民工工作科、劳动监察科（劳动关系科）、表彰奖励与任免科、养老保险科、工伤保险科、社会保险基金监督科、信息化科、调解仲裁管理科、信访科、行政审批科、人事科），下设非独立核算事业单位4个（广元市人力资源和社会保障信息中心、广元市人力资源和社会保障宣传中心、广元市劳动能力鉴定中心、广元市人力资源培训中心）。</w:t>
      </w:r>
    </w:p>
    <w:bookmarkEnd w:id="26"/>
    <w:bookmarkEnd w:id="27"/>
    <w:p>
      <w:pPr>
        <w:widowControl/>
        <w:spacing w:line="576" w:lineRule="exact"/>
        <w:jc w:val="left"/>
        <w:rPr>
          <w:rFonts w:ascii="仿宋" w:hAnsi="仿宋" w:eastAsia="仿宋"/>
          <w:kern w:val="0"/>
          <w:sz w:val="32"/>
          <w:szCs w:val="32"/>
        </w:rPr>
      </w:pPr>
      <w:r>
        <w:rPr>
          <w:rFonts w:ascii="仿宋" w:hAnsi="仿宋" w:eastAsia="仿宋"/>
          <w:sz w:val="32"/>
          <w:szCs w:val="32"/>
        </w:rPr>
        <w:br w:type="page"/>
      </w:r>
    </w:p>
    <w:p>
      <w:pPr>
        <w:pStyle w:val="3"/>
        <w:ind w:right="440"/>
        <w:jc w:val="center"/>
      </w:pPr>
      <w:bookmarkStart w:id="31" w:name="_Toc16424"/>
      <w:bookmarkStart w:id="32" w:name="_Toc9128"/>
      <w:bookmarkStart w:id="33" w:name="_Toc1324"/>
      <w:bookmarkStart w:id="34" w:name="_Toc15396602"/>
      <w:bookmarkStart w:id="35" w:name="_Toc15377204"/>
      <w:r>
        <w:rPr>
          <w:rFonts w:hint="eastAsia" w:ascii="黑体" w:hAnsi="黑体" w:eastAsia="黑体"/>
          <w:b w:val="0"/>
        </w:rPr>
        <w:t>第二部分 2022年度</w:t>
      </w:r>
      <w:r>
        <w:rPr>
          <w:rStyle w:val="19"/>
          <w:rFonts w:hint="eastAsia" w:ascii="黑体" w:hAnsi="黑体" w:eastAsia="黑体"/>
          <w:b w:val="0"/>
          <w:bCs/>
        </w:rPr>
        <w:t>单位决算情况说明</w:t>
      </w:r>
      <w:bookmarkEnd w:id="31"/>
      <w:bookmarkEnd w:id="32"/>
      <w:bookmarkEnd w:id="33"/>
      <w:bookmarkEnd w:id="34"/>
      <w:bookmarkEnd w:id="35"/>
    </w:p>
    <w:p>
      <w:pPr>
        <w:pStyle w:val="29"/>
        <w:numPr>
          <w:ilvl w:val="0"/>
          <w:numId w:val="2"/>
        </w:numPr>
        <w:spacing w:line="600" w:lineRule="exact"/>
        <w:ind w:firstLineChars="0"/>
        <w:outlineLvl w:val="1"/>
        <w:rPr>
          <w:rStyle w:val="20"/>
          <w:rFonts w:ascii="黑体" w:hAnsi="黑体" w:eastAsia="黑体"/>
          <w:b w:val="0"/>
        </w:rPr>
      </w:pPr>
      <w:bookmarkStart w:id="36" w:name="_Toc15377205"/>
      <w:bookmarkStart w:id="37" w:name="_Toc8308"/>
      <w:bookmarkStart w:id="38" w:name="_Toc8768"/>
      <w:bookmarkStart w:id="39" w:name="_Toc22085"/>
      <w:bookmarkStart w:id="40" w:name="_Toc15396603"/>
      <w:r>
        <w:rPr>
          <w:rFonts w:hint="eastAsia" w:ascii="黑体" w:hAnsi="黑体" w:eastAsia="黑体"/>
          <w:sz w:val="32"/>
          <w:szCs w:val="32"/>
        </w:rPr>
        <w:t>收</w:t>
      </w:r>
      <w:r>
        <w:rPr>
          <w:rStyle w:val="20"/>
          <w:rFonts w:hint="eastAsia" w:ascii="黑体" w:hAnsi="黑体" w:eastAsia="黑体"/>
          <w:b w:val="0"/>
        </w:rPr>
        <w:t>入支出决算总体情况说明</w:t>
      </w:r>
      <w:bookmarkEnd w:id="36"/>
      <w:bookmarkEnd w:id="37"/>
      <w:bookmarkEnd w:id="38"/>
      <w:bookmarkEnd w:id="39"/>
      <w:bookmarkEnd w:id="40"/>
    </w:p>
    <w:p>
      <w:pPr>
        <w:spacing w:line="600" w:lineRule="exact"/>
        <w:ind w:firstLine="600" w:firstLineChars="200"/>
        <w:rPr>
          <w:rFonts w:hint="eastAsia" w:ascii="仿宋" w:hAnsi="仿宋" w:eastAsia="仿宋"/>
          <w:sz w:val="32"/>
          <w:szCs w:val="32"/>
        </w:rPr>
      </w:pPr>
      <w:r>
        <w:rPr>
          <w:sz w:val="30"/>
        </w:rPr>
        <w:pict>
          <v:shape id="_x0000_s1027" o:spid="_x0000_s1027" o:spt="202" type="#_x0000_t202" style="position:absolute;left:0pt;margin-left:149.15pt;margin-top:87.1pt;height:21.7pt;width:78.75pt;z-index:251660288;mso-width-relative:page;mso-height-relative:page;" filled="f" stroked="f" coordsize="21600,21600">
            <v:path/>
            <v:fill on="f" focussize="0,0"/>
            <v:stroke on="f"/>
            <v:imagedata o:title=""/>
            <o:lock v:ext="edit" aspectratio="f"/>
            <v:textbox>
              <w:txbxContent>
                <w:p>
                  <w:pPr>
                    <w:rPr>
                      <w:rFonts w:hint="default" w:eastAsia="宋体"/>
                      <w:lang w:val="en-US" w:eastAsia="zh-CN"/>
                    </w:rPr>
                  </w:pPr>
                  <w:r>
                    <w:rPr>
                      <w:rFonts w:hint="eastAsia"/>
                      <w:lang w:val="en-US" w:eastAsia="zh-CN"/>
                    </w:rPr>
                    <w:t>3015.65万元</w:t>
                  </w:r>
                </w:p>
              </w:txbxContent>
            </v:textbox>
          </v:shape>
        </w:pict>
      </w:r>
      <w:r>
        <w:rPr>
          <w:rFonts w:hint="eastAsia" w:ascii="仿宋" w:hAnsi="仿宋" w:eastAsia="仿宋"/>
          <w:sz w:val="32"/>
          <w:szCs w:val="32"/>
        </w:rPr>
        <w:t>2022年度收、支总计3015.65万元。与2021年相比，收、支总计各增加61.69万元，增长2.09</w:t>
      </w:r>
      <w:r>
        <w:rPr>
          <w:rFonts w:ascii="仿宋" w:hAnsi="仿宋" w:eastAsia="仿宋"/>
          <w:sz w:val="32"/>
          <w:szCs w:val="32"/>
        </w:rPr>
        <w:t>%</w:t>
      </w:r>
      <w:r>
        <w:rPr>
          <w:rFonts w:hint="eastAsia" w:ascii="仿宋" w:hAnsi="仿宋" w:eastAsia="仿宋"/>
          <w:sz w:val="32"/>
          <w:szCs w:val="32"/>
        </w:rPr>
        <w:t>。主要变动原因是2022年增加了“一卡通”阳光审批系统项目支出。</w:t>
      </w:r>
    </w:p>
    <w:p>
      <w:pPr>
        <w:pStyle w:val="2"/>
        <w:spacing w:beforeLines="0"/>
        <w:jc w:val="center"/>
        <w:rPr>
          <w:rFonts w:hint="eastAsia" w:ascii="仿宋" w:hAnsi="仿宋" w:eastAsia="仿宋"/>
          <w:sz w:val="32"/>
          <w:szCs w:val="32"/>
        </w:rPr>
      </w:pPr>
      <w:r>
        <w:rPr>
          <w:sz w:val="30"/>
        </w:rPr>
        <w:pict>
          <v:shape id="_x0000_s1028" o:spid="_x0000_s1028" o:spt="202" type="#_x0000_t202" style="position:absolute;left:0pt;margin-left:251.9pt;margin-top:48.1pt;height:23.95pt;width:77.25pt;z-index:251661312;mso-width-relative:page;mso-height-relative:page;" filled="f" stroked="f" coordsize="21600,21600">
            <v:path/>
            <v:fill on="f" focussize="0,0"/>
            <v:stroke on="f"/>
            <v:imagedata o:title=""/>
            <o:lock v:ext="edit" aspectratio="f"/>
            <v:textbox>
              <w:txbxContent>
                <w:p>
                  <w:pPr>
                    <w:rPr>
                      <w:rFonts w:hint="default" w:eastAsia="宋体"/>
                      <w:lang w:val="en-US" w:eastAsia="zh-CN"/>
                    </w:rPr>
                  </w:pPr>
                  <w:r>
                    <w:rPr>
                      <w:rFonts w:hint="eastAsia"/>
                      <w:lang w:val="en-US" w:eastAsia="zh-CN"/>
                    </w:rPr>
                    <w:t>2953.96万元</w:t>
                  </w:r>
                </w:p>
              </w:txbxContent>
            </v:textbox>
          </v:shape>
        </w:pict>
      </w:r>
      <w:r>
        <w:drawing>
          <wp:inline distT="0" distB="0" distL="114300" distR="114300">
            <wp:extent cx="3244850" cy="1478280"/>
            <wp:effectExtent l="4445" t="4445" r="8255" b="2222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9"/>
        <w:numPr>
          <w:ilvl w:val="0"/>
          <w:numId w:val="2"/>
        </w:numPr>
        <w:spacing w:line="600" w:lineRule="exact"/>
        <w:ind w:firstLineChars="0"/>
        <w:outlineLvl w:val="1"/>
        <w:rPr>
          <w:rStyle w:val="20"/>
          <w:rFonts w:ascii="黑体" w:hAnsi="黑体" w:eastAsia="黑体"/>
          <w:b w:val="0"/>
        </w:rPr>
      </w:pPr>
      <w:bookmarkStart w:id="41" w:name="_Toc15396604"/>
      <w:bookmarkStart w:id="42" w:name="_Toc5044"/>
      <w:bookmarkStart w:id="43" w:name="_Toc3749"/>
      <w:bookmarkStart w:id="44" w:name="_Toc16326"/>
      <w:bookmarkStart w:id="45" w:name="_Toc15377206"/>
      <w:r>
        <w:rPr>
          <w:rFonts w:hint="eastAsia" w:ascii="黑体" w:hAnsi="黑体" w:eastAsia="黑体"/>
          <w:sz w:val="32"/>
          <w:szCs w:val="32"/>
        </w:rPr>
        <w:t>收</w:t>
      </w:r>
      <w:r>
        <w:rPr>
          <w:rStyle w:val="20"/>
          <w:rFonts w:hint="eastAsia" w:ascii="黑体" w:hAnsi="黑体" w:eastAsia="黑体"/>
          <w:b w:val="0"/>
        </w:rPr>
        <w:t>入决算情况说明</w:t>
      </w:r>
      <w:bookmarkEnd w:id="41"/>
      <w:bookmarkEnd w:id="42"/>
      <w:bookmarkEnd w:id="43"/>
      <w:bookmarkEnd w:id="44"/>
      <w:bookmarkEnd w:id="45"/>
    </w:p>
    <w:p>
      <w:pPr>
        <w:spacing w:line="600" w:lineRule="exact"/>
        <w:ind w:firstLine="640" w:firstLineChars="200"/>
        <w:outlineLvl w:val="1"/>
        <w:rPr>
          <w:rFonts w:hint="eastAsia" w:ascii="仿宋" w:hAnsi="仿宋" w:eastAsia="仿宋"/>
          <w:sz w:val="32"/>
          <w:szCs w:val="32"/>
        </w:rPr>
      </w:pPr>
      <w:bookmarkStart w:id="46" w:name="_Toc15051"/>
      <w:bookmarkStart w:id="47" w:name="_Toc17526"/>
      <w:bookmarkStart w:id="48" w:name="_Toc1675"/>
      <w:bookmarkStart w:id="49" w:name="_Toc16355"/>
      <w:r>
        <w:rPr>
          <w:rFonts w:ascii="仿宋" w:hAnsi="仿宋" w:eastAsia="仿宋"/>
          <w:sz w:val="32"/>
          <w:szCs w:val="32"/>
        </w:rPr>
        <w:t>20</w:t>
      </w:r>
      <w:r>
        <w:rPr>
          <w:rFonts w:hint="eastAsia" w:ascii="仿宋" w:hAnsi="仿宋" w:eastAsia="仿宋"/>
          <w:sz w:val="32"/>
          <w:szCs w:val="32"/>
        </w:rPr>
        <w:t>22年本年收入合计2473.56万元，其中：一般公共预算财政拨款收入2473.51万元，占99.99</w:t>
      </w:r>
      <w:r>
        <w:rPr>
          <w:rFonts w:ascii="仿宋" w:hAnsi="仿宋" w:eastAsia="仿宋"/>
          <w:sz w:val="32"/>
          <w:szCs w:val="32"/>
        </w:rPr>
        <w:t>%</w:t>
      </w:r>
      <w:r>
        <w:rPr>
          <w:rFonts w:hint="eastAsia" w:ascii="仿宋" w:hAnsi="仿宋" w:eastAsia="仿宋"/>
          <w:sz w:val="32"/>
          <w:szCs w:val="32"/>
        </w:rPr>
        <w:t>；其他收入0.50万元，占0.01</w:t>
      </w:r>
      <w:r>
        <w:rPr>
          <w:rFonts w:ascii="仿宋" w:hAnsi="仿宋" w:eastAsia="仿宋"/>
          <w:sz w:val="32"/>
          <w:szCs w:val="32"/>
        </w:rPr>
        <w:t>%</w:t>
      </w:r>
      <w:r>
        <w:rPr>
          <w:rFonts w:hint="eastAsia" w:ascii="仿宋" w:hAnsi="仿宋" w:eastAsia="仿宋"/>
          <w:sz w:val="32"/>
          <w:szCs w:val="32"/>
        </w:rPr>
        <w:t>。</w:t>
      </w:r>
      <w:bookmarkEnd w:id="46"/>
      <w:bookmarkEnd w:id="47"/>
      <w:bookmarkEnd w:id="48"/>
      <w:bookmarkEnd w:id="49"/>
    </w:p>
    <w:p>
      <w:pPr>
        <w:pStyle w:val="2"/>
        <w:jc w:val="center"/>
        <w:rPr>
          <w:rFonts w:hint="eastAsia" w:ascii="仿宋" w:hAnsi="仿宋" w:eastAsia="仿宋"/>
          <w:sz w:val="32"/>
          <w:szCs w:val="32"/>
        </w:rPr>
      </w:pPr>
      <w:r>
        <w:drawing>
          <wp:inline distT="0" distB="0" distL="114300" distR="114300">
            <wp:extent cx="3141345" cy="1714500"/>
            <wp:effectExtent l="4445" t="4445" r="16510"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（图2：收入决算结构图）</w:t>
      </w:r>
    </w:p>
    <w:p>
      <w:pPr>
        <w:pStyle w:val="29"/>
        <w:numPr>
          <w:ilvl w:val="0"/>
          <w:numId w:val="2"/>
        </w:numPr>
        <w:spacing w:line="600" w:lineRule="exact"/>
        <w:ind w:firstLineChars="0"/>
        <w:outlineLvl w:val="1"/>
        <w:rPr>
          <w:rStyle w:val="20"/>
          <w:rFonts w:ascii="黑体" w:hAnsi="黑体" w:eastAsia="黑体"/>
          <w:b w:val="0"/>
        </w:rPr>
      </w:pPr>
      <w:bookmarkStart w:id="50" w:name="_Toc20660"/>
      <w:bookmarkStart w:id="51" w:name="_Toc32221"/>
      <w:bookmarkStart w:id="52" w:name="_Toc15377207"/>
      <w:bookmarkStart w:id="53" w:name="_Toc18104"/>
      <w:bookmarkStart w:id="54" w:name="_Toc15396605"/>
      <w:r>
        <w:rPr>
          <w:rFonts w:hint="eastAsia" w:ascii="黑体" w:hAnsi="黑体" w:eastAsia="黑体"/>
          <w:sz w:val="32"/>
          <w:szCs w:val="32"/>
        </w:rPr>
        <w:t>支</w:t>
      </w:r>
      <w:r>
        <w:rPr>
          <w:rStyle w:val="20"/>
          <w:rFonts w:hint="eastAsia" w:ascii="黑体" w:hAnsi="黑体" w:eastAsia="黑体"/>
          <w:b w:val="0"/>
        </w:rPr>
        <w:t>出决算情况说明</w:t>
      </w:r>
      <w:bookmarkEnd w:id="50"/>
      <w:bookmarkEnd w:id="51"/>
      <w:bookmarkEnd w:id="52"/>
      <w:bookmarkEnd w:id="53"/>
      <w:bookmarkEnd w:id="54"/>
    </w:p>
    <w:p>
      <w:pPr>
        <w:spacing w:line="600" w:lineRule="exact"/>
        <w:ind w:firstLine="640" w:firstLineChars="200"/>
        <w:outlineLvl w:val="1"/>
        <w:rPr>
          <w:rFonts w:hint="eastAsia" w:ascii="仿宋" w:hAnsi="仿宋" w:eastAsia="仿宋"/>
          <w:sz w:val="32"/>
          <w:szCs w:val="32"/>
        </w:rPr>
      </w:pPr>
      <w:bookmarkStart w:id="55" w:name="_Toc27921"/>
      <w:bookmarkStart w:id="56" w:name="_Toc11717"/>
      <w:bookmarkStart w:id="57" w:name="_Toc22837"/>
      <w:bookmarkStart w:id="58" w:name="_Toc9517"/>
      <w:r>
        <w:rPr>
          <w:rFonts w:ascii="仿宋" w:hAnsi="仿宋" w:eastAsia="仿宋"/>
          <w:sz w:val="32"/>
          <w:szCs w:val="32"/>
        </w:rPr>
        <w:t>20</w:t>
      </w:r>
      <w:r>
        <w:rPr>
          <w:rFonts w:hint="eastAsia" w:ascii="仿宋" w:hAnsi="仿宋" w:eastAsia="仿宋"/>
          <w:sz w:val="32"/>
          <w:szCs w:val="32"/>
        </w:rPr>
        <w:t>22年本年支出合计2997.44万元，其中：基本支出1921.34万元，占64.10</w:t>
      </w:r>
      <w:r>
        <w:rPr>
          <w:rFonts w:ascii="仿宋" w:hAnsi="仿宋" w:eastAsia="仿宋"/>
          <w:sz w:val="32"/>
          <w:szCs w:val="32"/>
        </w:rPr>
        <w:t>%</w:t>
      </w:r>
      <w:r>
        <w:rPr>
          <w:rFonts w:hint="eastAsia" w:ascii="仿宋" w:hAnsi="仿宋" w:eastAsia="仿宋"/>
          <w:sz w:val="32"/>
          <w:szCs w:val="32"/>
        </w:rPr>
        <w:t>；项目支出1076.10万元，占35.90</w:t>
      </w:r>
      <w:r>
        <w:rPr>
          <w:rFonts w:ascii="仿宋" w:hAnsi="仿宋" w:eastAsia="仿宋"/>
          <w:sz w:val="32"/>
          <w:szCs w:val="32"/>
        </w:rPr>
        <w:t>%</w:t>
      </w:r>
      <w:r>
        <w:rPr>
          <w:rFonts w:hint="eastAsia" w:ascii="仿宋" w:hAnsi="仿宋" w:eastAsia="仿宋"/>
          <w:sz w:val="32"/>
          <w:szCs w:val="32"/>
        </w:rPr>
        <w:t>。</w:t>
      </w:r>
      <w:bookmarkEnd w:id="55"/>
      <w:bookmarkEnd w:id="56"/>
      <w:bookmarkEnd w:id="57"/>
      <w:bookmarkEnd w:id="58"/>
    </w:p>
    <w:p>
      <w:pPr>
        <w:pStyle w:val="2"/>
        <w:jc w:val="center"/>
        <w:rPr>
          <w:rFonts w:hint="eastAsia" w:ascii="仿宋" w:hAnsi="仿宋" w:eastAsia="仿宋"/>
          <w:sz w:val="32"/>
          <w:szCs w:val="32"/>
        </w:rPr>
      </w:pPr>
      <w:r>
        <w:rPr>
          <w:sz w:val="30"/>
        </w:rPr>
        <w:pict>
          <v:line id="_x0000_s1031" o:spid="_x0000_s1031" o:spt="20" style="position:absolute;left:0pt;margin-left:156.65pt;margin-top:57.5pt;height:19.5pt;width:27.75pt;z-index:251664384;mso-width-relative:page;mso-height-relative:page;" filled="f" stroked="t" coordsize="21600,21600">
            <v:path arrowok="t"/>
            <v:fill on="f" focussize="0,0"/>
            <v:stroke color="#000000" endarrow="open"/>
            <v:imagedata o:title=""/>
            <o:lock v:ext="edit" aspectratio="f"/>
          </v:line>
        </w:pict>
      </w:r>
      <w:r>
        <w:rPr>
          <w:sz w:val="30"/>
        </w:rPr>
        <w:pict>
          <v:shape id="_x0000_s1029" o:spid="_x0000_s1029" o:spt="202" type="#_x0000_t202" style="position:absolute;left:0pt;margin-left:265.4pt;margin-top:107.75pt;height:37.55pt;width:85.5pt;z-index:251662336;mso-width-relative:page;mso-height-relative:page;" filled="f" stroked="f" coordsize="21600,21600">
            <v:path/>
            <v:fill on="f" focussize="0,0"/>
            <v:stroke on="f"/>
            <v:imagedata o:title=""/>
            <o:lock v:ext="edit" aspectratio="f"/>
            <v:textbox>
              <w:txbxContent>
                <w:p>
                  <w:r>
                    <w:rPr>
                      <w:rFonts w:hint="eastAsia"/>
                    </w:rPr>
                    <w:t>1921.34万元，占64.10%</w:t>
                  </w:r>
                </w:p>
              </w:txbxContent>
            </v:textbox>
          </v:shape>
        </w:pict>
      </w:r>
      <w:r>
        <w:rPr>
          <w:sz w:val="30"/>
        </w:rPr>
        <w:pict>
          <v:line id="_x0000_s1033" o:spid="_x0000_s1033" o:spt="20" style="position:absolute;left:0pt;flip:x y;margin-left:237.65pt;margin-top:96.5pt;height:30.7pt;width:33.7pt;z-index:251665408;mso-width-relative:page;mso-height-relative:page;" filled="f" stroked="t" coordsize="21600,21600">
            <v:path arrowok="t"/>
            <v:fill on="f" focussize="0,0"/>
            <v:stroke color="#000000" endarrow="open"/>
            <v:imagedata o:title=""/>
            <o:lock v:ext="edit" aspectratio="f"/>
          </v:line>
        </w:pict>
      </w:r>
      <w:r>
        <w:rPr>
          <w:sz w:val="30"/>
        </w:rPr>
        <w:pict>
          <v:shape id="_x0000_s1030" o:spid="_x0000_s1030" o:spt="202" type="#_x0000_t202" style="position:absolute;left:0pt;margin-left:88.4pt;margin-top:33.5pt;height:45.6pt;width:78.05pt;z-index:251663360;mso-width-relative:page;mso-height-relative:page;" filled="f" stroked="f" coordsize="21600,21600">
            <v:path/>
            <v:fill on="f" focussize="0,0"/>
            <v:stroke on="f"/>
            <v:imagedata o:title=""/>
            <o:lock v:ext="edit" aspectratio="f"/>
            <v:textbox>
              <w:txbxContent>
                <w:p>
                  <w:r>
                    <w:rPr>
                      <w:rFonts w:hint="eastAsia"/>
                    </w:rPr>
                    <w:t>1076.10万元，占35.90%</w:t>
                  </w:r>
                </w:p>
              </w:txbxContent>
            </v:textbox>
          </v:shape>
        </w:pict>
      </w:r>
      <w:r>
        <w:drawing>
          <wp:inline distT="0" distB="0" distL="114300" distR="114300">
            <wp:extent cx="3121660" cy="1811655"/>
            <wp:effectExtent l="4445" t="4445" r="17145" b="1270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0"/>
          <w:rFonts w:ascii="黑体" w:hAnsi="黑体" w:eastAsia="黑体"/>
          <w:b w:val="0"/>
        </w:rPr>
      </w:pPr>
      <w:bookmarkStart w:id="59" w:name="_Toc25678"/>
      <w:bookmarkStart w:id="60" w:name="_Toc4585"/>
      <w:bookmarkStart w:id="61" w:name="_Toc898"/>
      <w:bookmarkStart w:id="62" w:name="_Toc15377208"/>
      <w:bookmarkStart w:id="63" w:name="_Toc15396606"/>
      <w:r>
        <w:rPr>
          <w:rFonts w:hint="eastAsia" w:ascii="黑体" w:hAnsi="黑体" w:eastAsia="黑体"/>
          <w:sz w:val="32"/>
          <w:szCs w:val="32"/>
        </w:rPr>
        <w:t>四、财</w:t>
      </w:r>
      <w:r>
        <w:rPr>
          <w:rStyle w:val="20"/>
          <w:rFonts w:hint="eastAsia" w:ascii="黑体" w:hAnsi="黑体" w:eastAsia="黑体"/>
          <w:b w:val="0"/>
        </w:rPr>
        <w:t>政拨款收入支出决算总体情况说明</w:t>
      </w:r>
      <w:bookmarkEnd w:id="59"/>
      <w:bookmarkEnd w:id="60"/>
      <w:bookmarkEnd w:id="61"/>
      <w:bookmarkEnd w:id="62"/>
      <w:bookmarkEnd w:id="63"/>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22年财政拨款收、支总计3015.54万元。与</w:t>
      </w:r>
      <w:r>
        <w:rPr>
          <w:rFonts w:ascii="仿宋" w:hAnsi="仿宋" w:eastAsia="仿宋"/>
          <w:sz w:val="32"/>
          <w:szCs w:val="32"/>
        </w:rPr>
        <w:t>20</w:t>
      </w:r>
      <w:r>
        <w:rPr>
          <w:rFonts w:hint="eastAsia" w:ascii="仿宋" w:hAnsi="仿宋" w:eastAsia="仿宋"/>
          <w:sz w:val="32"/>
          <w:szCs w:val="32"/>
        </w:rPr>
        <w:t>21年相比，财政拨款收、支总计各增加61.97万元，增长2.10</w:t>
      </w:r>
      <w:r>
        <w:rPr>
          <w:rFonts w:ascii="仿宋" w:hAnsi="仿宋" w:eastAsia="仿宋"/>
          <w:sz w:val="32"/>
          <w:szCs w:val="32"/>
        </w:rPr>
        <w:t>%</w:t>
      </w:r>
      <w:r>
        <w:rPr>
          <w:rFonts w:hint="eastAsia" w:ascii="仿宋" w:hAnsi="仿宋" w:eastAsia="仿宋"/>
          <w:sz w:val="32"/>
          <w:szCs w:val="32"/>
        </w:rPr>
        <w:t>。主要变动原因是2022年增加了“一卡通”阳光审批系统项目支出。</w:t>
      </w:r>
    </w:p>
    <w:p>
      <w:pPr>
        <w:pStyle w:val="2"/>
        <w:jc w:val="center"/>
        <w:rPr>
          <w:rFonts w:hint="eastAsia"/>
          <w:sz w:val="30"/>
        </w:rPr>
      </w:pPr>
      <w:r>
        <w:rPr>
          <w:sz w:val="30"/>
        </w:rPr>
        <w:pict>
          <v:shape id="_x0000_s1037" o:spid="_x0000_s1037" o:spt="202" type="#_x0000_t202" style="position:absolute;left:0pt;margin-left:250.4pt;margin-top:62.35pt;height:23.25pt;width:76.5pt;z-index:251667456;mso-width-relative:page;mso-height-relative:page;" filled="f" stroked="f" coordsize="21600,21600">
            <v:path/>
            <v:fill on="f" focussize="0,0"/>
            <v:stroke on="f"/>
            <v:imagedata o:title=""/>
            <o:lock v:ext="edit" aspectratio="f"/>
            <v:textbox>
              <w:txbxContent>
                <w:p>
                  <w:pPr>
                    <w:rPr>
                      <w:rFonts w:hint="default" w:eastAsia="宋体"/>
                      <w:lang w:val="en-US" w:eastAsia="zh-CN"/>
                    </w:rPr>
                  </w:pPr>
                  <w:r>
                    <w:rPr>
                      <w:rFonts w:hint="eastAsia"/>
                      <w:lang w:val="en-US" w:eastAsia="zh-CN"/>
                    </w:rPr>
                    <w:t>2953.56万元</w:t>
                  </w:r>
                </w:p>
              </w:txbxContent>
            </v:textbox>
          </v:shape>
        </w:pict>
      </w:r>
      <w:r>
        <w:rPr>
          <w:sz w:val="32"/>
        </w:rPr>
        <w:pict>
          <v:shape id="_x0000_s1036" o:spid="_x0000_s1036" o:spt="202" type="#_x0000_t202" style="position:absolute;left:0pt;margin-left:136.4pt;margin-top:6.1pt;height:24.75pt;width:75pt;z-index:251666432;mso-width-relative:page;mso-height-relative:page;" filled="f" stroked="f" coordsize="21600,21600">
            <v:path/>
            <v:fill on="f" focussize="0,0"/>
            <v:stroke on="f"/>
            <v:imagedata o:title=""/>
            <o:lock v:ext="edit" aspectratio="f"/>
            <v:textbox>
              <w:txbxContent>
                <w:p>
                  <w:pPr>
                    <w:rPr>
                      <w:rFonts w:hint="default" w:eastAsia="宋体"/>
                      <w:lang w:val="en-US" w:eastAsia="zh-CN"/>
                    </w:rPr>
                  </w:pPr>
                  <w:r>
                    <w:rPr>
                      <w:rFonts w:hint="eastAsia"/>
                      <w:lang w:val="en-US" w:eastAsia="zh-CN"/>
                    </w:rPr>
                    <w:t>3015.54万元</w:t>
                  </w:r>
                </w:p>
              </w:txbxContent>
            </v:textbox>
          </v:shape>
        </w:pict>
      </w:r>
      <w:r>
        <w:drawing>
          <wp:inline distT="0" distB="0" distL="114300" distR="114300">
            <wp:extent cx="3246120" cy="1677035"/>
            <wp:effectExtent l="4445" t="4445" r="6985" b="1397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jc w:val="center"/>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0"/>
          <w:rFonts w:ascii="黑体" w:hAnsi="黑体" w:eastAsia="黑体"/>
          <w:b w:val="0"/>
        </w:rPr>
      </w:pPr>
      <w:bookmarkStart w:id="64" w:name="_Toc15864"/>
      <w:bookmarkStart w:id="65" w:name="_Toc15396607"/>
      <w:bookmarkStart w:id="66" w:name="_Toc5719"/>
      <w:bookmarkStart w:id="67" w:name="_Toc15377209"/>
      <w:bookmarkStart w:id="68" w:name="_Toc6940"/>
      <w:r>
        <w:rPr>
          <w:rFonts w:hint="eastAsia" w:ascii="黑体" w:hAnsi="黑体" w:eastAsia="黑体"/>
          <w:sz w:val="32"/>
          <w:szCs w:val="32"/>
        </w:rPr>
        <w:t>五、</w:t>
      </w:r>
      <w:r>
        <w:rPr>
          <w:rFonts w:hint="eastAsia" w:ascii="黑体" w:hAnsi="黑体" w:eastAsia="黑体"/>
          <w:b/>
          <w:sz w:val="32"/>
          <w:szCs w:val="32"/>
        </w:rPr>
        <w:t>一</w:t>
      </w:r>
      <w:r>
        <w:rPr>
          <w:rStyle w:val="20"/>
          <w:rFonts w:hint="eastAsia" w:ascii="黑体" w:hAnsi="黑体" w:eastAsia="黑体"/>
          <w:b w:val="0"/>
        </w:rPr>
        <w:t>般公共预算财政拨款支出决算情况说明</w:t>
      </w:r>
      <w:bookmarkEnd w:id="64"/>
      <w:bookmarkEnd w:id="65"/>
      <w:bookmarkEnd w:id="66"/>
      <w:bookmarkEnd w:id="67"/>
      <w:bookmarkEnd w:id="68"/>
    </w:p>
    <w:p>
      <w:pPr>
        <w:spacing w:line="600" w:lineRule="exact"/>
        <w:ind w:firstLine="643" w:firstLineChars="200"/>
        <w:outlineLvl w:val="2"/>
        <w:rPr>
          <w:rFonts w:ascii="仿宋" w:hAnsi="仿宋" w:eastAsia="仿宋"/>
          <w:b/>
          <w:sz w:val="32"/>
          <w:szCs w:val="32"/>
        </w:rPr>
      </w:pPr>
      <w:bookmarkStart w:id="69" w:name="_Toc15377210"/>
      <w:r>
        <w:rPr>
          <w:rFonts w:hint="eastAsia" w:ascii="仿宋" w:hAnsi="仿宋" w:eastAsia="仿宋"/>
          <w:b/>
          <w:sz w:val="32"/>
          <w:szCs w:val="32"/>
        </w:rPr>
        <w:t>（一）一般公共预算财政拨款支出决算总体情况</w:t>
      </w:r>
      <w:bookmarkEnd w:id="69"/>
    </w:p>
    <w:p>
      <w:pPr>
        <w:spacing w:line="600" w:lineRule="exact"/>
        <w:ind w:firstLine="640" w:firstLineChars="200"/>
        <w:rPr>
          <w:rFonts w:ascii="仿宋" w:hAnsi="仿宋" w:eastAsia="仿宋"/>
          <w:spacing w:val="-6"/>
          <w:sz w:val="32"/>
          <w:szCs w:val="32"/>
        </w:rPr>
      </w:pPr>
      <w:r>
        <w:rPr>
          <w:rFonts w:ascii="仿宋" w:hAnsi="仿宋" w:eastAsia="仿宋"/>
          <w:sz w:val="32"/>
          <w:szCs w:val="32"/>
        </w:rPr>
        <w:t>20</w:t>
      </w:r>
      <w:r>
        <w:rPr>
          <w:rFonts w:hint="eastAsia" w:ascii="仿宋" w:hAnsi="仿宋" w:eastAsia="仿宋"/>
          <w:sz w:val="32"/>
          <w:szCs w:val="32"/>
        </w:rPr>
        <w:t>22年一般公共预算财政拨款支出2997.33万元，占本年支出合计的99.99</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21年相比，一般公共预算财政拨款支出增加688.16万元，增长29.80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pacing w:val="-6"/>
          <w:sz w:val="32"/>
          <w:szCs w:val="32"/>
        </w:rPr>
        <w:t>主要变动原因一是人员经费增加；二是新增“一卡通”阳光审批系统项目支出。</w:t>
      </w:r>
    </w:p>
    <w:p>
      <w:pPr>
        <w:pStyle w:val="2"/>
        <w:jc w:val="center"/>
        <w:rPr>
          <w:rFonts w:hint="eastAsia" w:ascii="仿宋" w:hAnsi="仿宋" w:eastAsia="仿宋"/>
          <w:sz w:val="32"/>
          <w:szCs w:val="32"/>
        </w:rPr>
      </w:pPr>
      <w:r>
        <w:rPr>
          <w:sz w:val="30"/>
        </w:rPr>
        <w:pict>
          <v:shape id="_x0000_s1038" o:spid="_x0000_s1038" o:spt="202" type="#_x0000_t202" style="position:absolute;left:0pt;margin-left:139.4pt;margin-top:13.95pt;height:22.5pt;width:77.25pt;z-index:251668480;mso-width-relative:page;mso-height-relative:page;" filled="f" stroked="f" coordsize="21600,21600">
            <v:path/>
            <v:fill on="f" focussize="0,0"/>
            <v:stroke on="f"/>
            <v:imagedata o:title=""/>
            <o:lock v:ext="edit" aspectratio="f"/>
            <v:textbox>
              <w:txbxContent>
                <w:p>
                  <w:pPr>
                    <w:rPr>
                      <w:rFonts w:hint="default" w:eastAsia="宋体"/>
                      <w:lang w:val="en-US" w:eastAsia="zh-CN"/>
                    </w:rPr>
                  </w:pPr>
                  <w:r>
                    <w:rPr>
                      <w:rFonts w:hint="eastAsia"/>
                      <w:lang w:val="en-US" w:eastAsia="zh-CN"/>
                    </w:rPr>
                    <w:t>2997.33万元</w:t>
                  </w:r>
                </w:p>
              </w:txbxContent>
            </v:textbox>
          </v:shape>
        </w:pict>
      </w:r>
      <w:r>
        <w:rPr>
          <w:sz w:val="30"/>
        </w:rPr>
        <w:pict>
          <v:shape id="_x0000_s1039" o:spid="_x0000_s1039" o:spt="202" type="#_x0000_t202" style="position:absolute;left:0pt;margin-left:257.9pt;margin-top:34.2pt;height:22.5pt;width:72pt;z-index:251669504;mso-width-relative:page;mso-height-relative:page;" filled="f" stroked="f" coordsize="21600,21600">
            <v:path/>
            <v:fill on="f" focussize="0,0"/>
            <v:stroke on="f"/>
            <v:imagedata o:title=""/>
            <o:lock v:ext="edit" aspectratio="f"/>
            <v:textbox>
              <w:txbxContent>
                <w:p>
                  <w:pPr>
                    <w:rPr>
                      <w:rFonts w:hint="default" w:eastAsia="宋体"/>
                      <w:lang w:val="en-US" w:eastAsia="zh-CN"/>
                    </w:rPr>
                  </w:pPr>
                  <w:r>
                    <w:rPr>
                      <w:rFonts w:hint="eastAsia"/>
                      <w:lang w:val="en-US" w:eastAsia="zh-CN"/>
                    </w:rPr>
                    <w:t>2309.17万元</w:t>
                  </w:r>
                </w:p>
              </w:txbxContent>
            </v:textbox>
          </v:shape>
        </w:pict>
      </w:r>
      <w:r>
        <w:drawing>
          <wp:inline distT="0" distB="0" distL="114300" distR="114300">
            <wp:extent cx="3407410" cy="1656715"/>
            <wp:effectExtent l="4445" t="4445" r="17145" b="1524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70" w:name="_Toc15377211"/>
      <w:r>
        <w:rPr>
          <w:rFonts w:hint="eastAsia" w:ascii="仿宋" w:hAnsi="仿宋" w:eastAsia="仿宋"/>
          <w:b/>
          <w:sz w:val="32"/>
          <w:szCs w:val="32"/>
        </w:rPr>
        <w:t>（二）一般公共预算财政拨款支出决算结构情况</w:t>
      </w:r>
      <w:bookmarkEnd w:id="7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22年一般公共预算财政拨款支出2997.33万元，主要用于以下方面</w:t>
      </w:r>
      <w:r>
        <w:rPr>
          <w:rFonts w:hint="eastAsia" w:ascii="仿宋" w:hAnsi="仿宋" w:eastAsia="仿宋"/>
          <w:sz w:val="32"/>
          <w:szCs w:val="32"/>
          <w:lang w:eastAsia="zh-CN"/>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2818.16</w:t>
      </w:r>
      <w:r>
        <w:rPr>
          <w:rFonts w:hint="eastAsia" w:ascii="仿宋" w:hAnsi="仿宋" w:eastAsia="仿宋"/>
          <w:sz w:val="32"/>
          <w:szCs w:val="32"/>
        </w:rPr>
        <w:t>万元，占</w:t>
      </w:r>
      <w:r>
        <w:rPr>
          <w:rFonts w:hint="eastAsia" w:ascii="仿宋" w:hAnsi="仿宋" w:eastAsia="仿宋"/>
          <w:sz w:val="32"/>
          <w:szCs w:val="32"/>
          <w:lang w:val="en-US" w:eastAsia="zh-CN"/>
        </w:rPr>
        <w:t>94.02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53.11</w:t>
      </w:r>
      <w:r>
        <w:rPr>
          <w:rFonts w:hint="eastAsia" w:ascii="仿宋" w:hAnsi="仿宋" w:eastAsia="仿宋"/>
          <w:sz w:val="32"/>
          <w:szCs w:val="32"/>
        </w:rPr>
        <w:t>万元，占</w:t>
      </w:r>
      <w:r>
        <w:rPr>
          <w:rFonts w:hint="eastAsia" w:ascii="仿宋" w:hAnsi="仿宋" w:eastAsia="仿宋"/>
          <w:sz w:val="32"/>
          <w:szCs w:val="32"/>
          <w:lang w:val="en-US" w:eastAsia="zh-CN"/>
        </w:rPr>
        <w:t>1.77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126.06</w:t>
      </w:r>
      <w:r>
        <w:rPr>
          <w:rFonts w:hint="eastAsia" w:ascii="仿宋" w:hAnsi="仿宋" w:eastAsia="仿宋"/>
          <w:sz w:val="32"/>
          <w:szCs w:val="32"/>
        </w:rPr>
        <w:t>万元，占</w:t>
      </w:r>
      <w:r>
        <w:rPr>
          <w:rFonts w:hint="eastAsia" w:ascii="仿宋" w:hAnsi="仿宋" w:eastAsia="仿宋"/>
          <w:sz w:val="32"/>
          <w:szCs w:val="32"/>
          <w:lang w:val="en-US" w:eastAsia="zh-CN"/>
        </w:rPr>
        <w:t>4.21</w:t>
      </w:r>
      <w:r>
        <w:rPr>
          <w:rFonts w:ascii="仿宋" w:hAnsi="仿宋" w:eastAsia="仿宋"/>
          <w:sz w:val="32"/>
          <w:szCs w:val="32"/>
        </w:rPr>
        <w:t>%</w:t>
      </w:r>
      <w:r>
        <w:rPr>
          <w:rFonts w:hint="eastAsia" w:ascii="仿宋" w:hAnsi="仿宋" w:eastAsia="仿宋"/>
          <w:sz w:val="32"/>
          <w:szCs w:val="32"/>
        </w:rPr>
        <w:t>。</w:t>
      </w:r>
    </w:p>
    <w:p>
      <w:pPr>
        <w:pStyle w:val="2"/>
        <w:jc w:val="center"/>
        <w:rPr>
          <w:rFonts w:hint="eastAsia" w:ascii="仿宋" w:hAnsi="仿宋" w:eastAsia="仿宋"/>
          <w:sz w:val="32"/>
          <w:szCs w:val="32"/>
        </w:rPr>
      </w:pPr>
      <w:r>
        <w:rPr>
          <w:sz w:val="30"/>
        </w:rPr>
        <w:pict>
          <v:line id="_x0000_s1045" o:spid="_x0000_s1045" o:spt="20" style="position:absolute;left:0pt;flip:x y;margin-left:199.4pt;margin-top:52.65pt;height:10.5pt;width:81.7pt;z-index:251675648;mso-width-relative:page;mso-height-relative:page;" filled="f" stroked="t" coordsize="21600,21600">
            <v:path arrowok="t"/>
            <v:fill on="f" focussize="0,0"/>
            <v:stroke color="#000000" endarrow="open"/>
            <v:imagedata o:title=""/>
            <o:lock v:ext="edit" aspectratio="f"/>
          </v:line>
        </w:pict>
      </w:r>
      <w:r>
        <w:rPr>
          <w:sz w:val="30"/>
        </w:rPr>
        <w:pict>
          <v:line id="_x0000_s1043" o:spid="_x0000_s1043" o:spt="20" style="position:absolute;left:0pt;flip:y;margin-left:151.35pt;margin-top:51.15pt;height:12.8pt;width:43.5pt;z-index:251673600;mso-width-relative:page;mso-height-relative:page;" filled="f" stroked="t" coordsize="21600,21600">
            <v:path arrowok="t"/>
            <v:fill on="f" focussize="0,0"/>
            <v:stroke color="#000000" endarrow="open"/>
            <v:imagedata o:title=""/>
            <o:lock v:ext="edit" aspectratio="f"/>
          </v:line>
        </w:pict>
      </w:r>
      <w:r>
        <w:rPr>
          <w:sz w:val="30"/>
        </w:rPr>
        <w:pict>
          <v:shape id="_x0000_s1040" o:spid="_x0000_s1040" o:spt="202" type="#_x0000_t202" style="position:absolute;left:0pt;margin-left:270.65pt;margin-top:114.9pt;height:39pt;width:75.75pt;z-index:251670528;mso-width-relative:page;mso-height-relative:page;" filled="f" stroked="f" coordsize="21600,21600">
            <v:path/>
            <v:fill on="f" focussize="0,0"/>
            <v:stroke on="f"/>
            <v:imagedata o:title=""/>
            <o:lock v:ext="edit" aspectratio="f"/>
            <v:textbox>
              <w:txbxContent>
                <w:p>
                  <w:r>
                    <w:rPr>
                      <w:rFonts w:hint="eastAsia"/>
                    </w:rPr>
                    <w:t>2818.1万元，占94.02%</w:t>
                  </w:r>
                </w:p>
              </w:txbxContent>
            </v:textbox>
          </v:shape>
        </w:pict>
      </w:r>
      <w:r>
        <w:rPr>
          <w:sz w:val="30"/>
        </w:rPr>
        <w:pict>
          <v:shape id="_x0000_s1042" o:spid="_x0000_s1042" o:spt="202" type="#_x0000_t202" style="position:absolute;left:0pt;margin-left:82.4pt;margin-top:49.65pt;height:40.55pt;width:74.3pt;z-index:251672576;mso-width-relative:page;mso-height-relative:page;" fillcolor="#FFFFFF" filled="t" stroked="f" coordsize="21600,21600">
            <v:path/>
            <v:fill on="t" focussize="0,0"/>
            <v:stroke on="f"/>
            <v:imagedata o:title=""/>
            <o:lock v:ext="edit" aspectratio="f"/>
            <v:textbox>
              <w:txbxContent>
                <w:p>
                  <w:r>
                    <w:rPr>
                      <w:rFonts w:hint="eastAsia"/>
                    </w:rPr>
                    <w:t>53.11万元，占1.77%</w:t>
                  </w:r>
                </w:p>
              </w:txbxContent>
            </v:textbox>
          </v:shape>
        </w:pict>
      </w:r>
      <w:r>
        <w:rPr>
          <w:sz w:val="30"/>
        </w:rPr>
        <w:pict>
          <v:shape id="_x0000_s1044" o:spid="_x0000_s1044" o:spt="202" type="#_x0000_t202" style="position:absolute;left:0pt;margin-left:275.15pt;margin-top:50.4pt;height:41.25pt;width:74.25pt;z-index:251674624;mso-width-relative:page;mso-height-relative:page;" filled="f" stroked="f" coordsize="21600,21600">
            <v:path/>
            <v:fill on="f" focussize="0,0"/>
            <v:stroke on="f"/>
            <v:imagedata o:title=""/>
            <o:lock v:ext="edit" aspectratio="f"/>
            <v:textbox>
              <w:txbxContent>
                <w:p>
                  <w:r>
                    <w:rPr>
                      <w:rFonts w:hint="eastAsia"/>
                    </w:rPr>
                    <w:t>126.06万元，占4.21%</w:t>
                  </w:r>
                </w:p>
              </w:txbxContent>
            </v:textbox>
          </v:shape>
        </w:pict>
      </w:r>
      <w:r>
        <w:rPr>
          <w:sz w:val="30"/>
        </w:rPr>
        <w:pict>
          <v:line id="_x0000_s1041" o:spid="_x0000_s1041" o:spt="20" style="position:absolute;left:0pt;flip:x y;margin-left:242.15pt;margin-top:111.9pt;height:20.3pt;width:29.25pt;z-index:251671552;mso-width-relative:page;mso-height-relative:page;" filled="f" stroked="t" coordsize="21600,21600">
            <v:path arrowok="t"/>
            <v:fill on="f" focussize="0,0"/>
            <v:stroke color="#000000" endarrow="open"/>
            <v:imagedata o:title=""/>
            <o:lock v:ext="edit" aspectratio="f"/>
          </v:line>
        </w:pict>
      </w:r>
      <w:r>
        <w:drawing>
          <wp:inline distT="0" distB="0" distL="114300" distR="114300">
            <wp:extent cx="3530600" cy="1782445"/>
            <wp:effectExtent l="4445" t="4445" r="8255" b="2286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（图6：一般公共预算财政拨款支出决算结构）</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2"/>
        <w:rPr>
          <w:rFonts w:ascii="仿宋" w:hAnsi="仿宋" w:eastAsia="仿宋"/>
          <w:b/>
          <w:sz w:val="32"/>
          <w:szCs w:val="32"/>
        </w:rPr>
      </w:pPr>
      <w:bookmarkStart w:id="71" w:name="_Toc15377212"/>
      <w:r>
        <w:rPr>
          <w:rFonts w:hint="eastAsia" w:ascii="仿宋" w:hAnsi="仿宋" w:eastAsia="仿宋"/>
          <w:b/>
          <w:sz w:val="32"/>
          <w:szCs w:val="32"/>
        </w:rPr>
        <w:t>（三）一般公共预算财政拨款支出决算具体情况</w:t>
      </w:r>
      <w:bookmarkEnd w:id="71"/>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1"/>
        <w:rPr>
          <w:rStyle w:val="17"/>
          <w:rFonts w:hint="eastAsia" w:ascii="仿宋" w:hAnsi="仿宋" w:eastAsia="仿宋"/>
          <w:bCs/>
          <w:color w:val="auto"/>
          <w:sz w:val="32"/>
          <w:szCs w:val="32"/>
        </w:rPr>
      </w:pPr>
      <w:bookmarkStart w:id="72" w:name="_Toc11005"/>
      <w:bookmarkStart w:id="73" w:name="_Toc17896"/>
      <w:bookmarkStart w:id="74" w:name="_Toc21563"/>
      <w:bookmarkStart w:id="75" w:name="_Toc15378460"/>
      <w:bookmarkStart w:id="76" w:name="_Toc15377444"/>
      <w:bookmarkStart w:id="77" w:name="_Toc30014"/>
      <w:bookmarkStart w:id="78" w:name="_Toc15377213"/>
      <w:r>
        <w:rPr>
          <w:rFonts w:hint="eastAsia" w:ascii="仿宋" w:hAnsi="仿宋" w:eastAsia="仿宋"/>
          <w:b/>
          <w:color w:val="auto"/>
          <w:sz w:val="32"/>
          <w:szCs w:val="32"/>
        </w:rPr>
        <w:t>2022年一般公共预算支出决算数为</w:t>
      </w:r>
      <w:r>
        <w:rPr>
          <w:rFonts w:hint="eastAsia" w:ascii="仿宋" w:hAnsi="仿宋" w:eastAsia="仿宋"/>
          <w:b/>
          <w:color w:val="auto"/>
          <w:sz w:val="32"/>
          <w:szCs w:val="32"/>
          <w:lang w:val="en-US" w:eastAsia="zh-CN"/>
        </w:rPr>
        <w:t>2997.33</w:t>
      </w:r>
      <w:r>
        <w:rPr>
          <w:rFonts w:hint="eastAsia" w:ascii="仿宋" w:hAnsi="仿宋" w:eastAsia="仿宋"/>
          <w:color w:val="auto"/>
          <w:sz w:val="32"/>
          <w:szCs w:val="32"/>
        </w:rPr>
        <w:t>，</w:t>
      </w:r>
      <w:r>
        <w:rPr>
          <w:rStyle w:val="17"/>
          <w:rFonts w:hint="eastAsia" w:ascii="仿宋" w:hAnsi="仿宋" w:eastAsia="仿宋"/>
          <w:bCs/>
          <w:color w:val="auto"/>
          <w:sz w:val="32"/>
          <w:szCs w:val="32"/>
        </w:rPr>
        <w:t>完成预算</w:t>
      </w:r>
      <w:r>
        <w:rPr>
          <w:rStyle w:val="17"/>
          <w:rFonts w:hint="eastAsia" w:ascii="仿宋" w:hAnsi="仿宋" w:eastAsia="仿宋"/>
          <w:bCs/>
          <w:color w:val="auto"/>
          <w:sz w:val="32"/>
          <w:szCs w:val="32"/>
          <w:lang w:val="en-US" w:eastAsia="zh-CN"/>
        </w:rPr>
        <w:t>99.40</w:t>
      </w:r>
      <w:r>
        <w:rPr>
          <w:rStyle w:val="17"/>
          <w:rFonts w:ascii="仿宋" w:hAnsi="仿宋" w:eastAsia="仿宋"/>
          <w:bCs/>
          <w:color w:val="auto"/>
          <w:sz w:val="32"/>
          <w:szCs w:val="32"/>
        </w:rPr>
        <w:t>%</w:t>
      </w:r>
      <w:r>
        <w:rPr>
          <w:rStyle w:val="17"/>
          <w:rFonts w:hint="eastAsia" w:ascii="仿宋" w:hAnsi="仿宋" w:eastAsia="仿宋"/>
          <w:bCs/>
          <w:color w:val="auto"/>
          <w:sz w:val="32"/>
          <w:szCs w:val="32"/>
        </w:rPr>
        <w:t>。其中：</w:t>
      </w:r>
      <w:bookmarkEnd w:id="72"/>
      <w:bookmarkEnd w:id="73"/>
      <w:bookmarkEnd w:id="74"/>
      <w:bookmarkEnd w:id="75"/>
      <w:bookmarkEnd w:id="76"/>
      <w:bookmarkEnd w:id="77"/>
      <w:bookmarkEnd w:id="78"/>
    </w:p>
    <w:p>
      <w:pPr>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rStyle w:val="17"/>
          <w:rFonts w:hint="default" w:ascii="仿宋" w:hAnsi="仿宋" w:eastAsia="仿宋"/>
          <w:b w:val="0"/>
          <w:bCs/>
          <w:color w:val="auto"/>
          <w:sz w:val="32"/>
          <w:szCs w:val="32"/>
          <w:lang w:val="en-US" w:eastAsia="zh-CN"/>
        </w:rPr>
      </w:pPr>
      <w:r>
        <w:rPr>
          <w:rStyle w:val="17"/>
          <w:rFonts w:hint="eastAsia" w:ascii="仿宋" w:hAnsi="仿宋" w:eastAsia="仿宋"/>
          <w:bCs/>
          <w:color w:val="auto"/>
          <w:sz w:val="32"/>
          <w:szCs w:val="32"/>
        </w:rPr>
        <w:t>社会保障和就业支出（类）人力资源和社会保障管理事务（款）行政运行（项）</w:t>
      </w:r>
      <w:r>
        <w:rPr>
          <w:rStyle w:val="17"/>
          <w:rFonts w:hint="eastAsia" w:ascii="仿宋" w:hAnsi="仿宋" w:eastAsia="仿宋"/>
          <w:bCs/>
          <w:color w:val="auto"/>
          <w:sz w:val="32"/>
          <w:szCs w:val="32"/>
          <w:lang w:eastAsia="zh-CN"/>
        </w:rPr>
        <w:t>：</w:t>
      </w:r>
      <w:r>
        <w:rPr>
          <w:rStyle w:val="17"/>
          <w:rFonts w:ascii="仿宋" w:hAnsi="仿宋" w:eastAsia="仿宋"/>
          <w:b w:val="0"/>
          <w:bCs/>
          <w:color w:val="auto"/>
          <w:sz w:val="32"/>
          <w:szCs w:val="32"/>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1386.11</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98.70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val="en-US" w:eastAsia="zh-CN"/>
        </w:rPr>
        <w:t>决算数小于预算数的主要原因是机关代扣的住房公积金和保险提标部分未支付，将结转至下一年。</w:t>
      </w:r>
    </w:p>
    <w:p>
      <w:pPr>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rStyle w:val="17"/>
          <w:rFonts w:hint="eastAsia" w:ascii="仿宋" w:hAnsi="仿宋" w:eastAsia="仿宋"/>
          <w:b w:val="0"/>
          <w:bCs/>
          <w:color w:val="auto"/>
          <w:sz w:val="32"/>
          <w:szCs w:val="32"/>
        </w:rPr>
      </w:pPr>
      <w:r>
        <w:rPr>
          <w:rStyle w:val="17"/>
          <w:rFonts w:hint="eastAsia" w:ascii="仿宋" w:hAnsi="仿宋" w:eastAsia="仿宋"/>
          <w:bCs/>
          <w:color w:val="auto"/>
          <w:sz w:val="32"/>
          <w:szCs w:val="32"/>
        </w:rPr>
        <w:t>社会保障和就业支出（类）人力资源和社会保障管理事务（款）一般行政管理事务（项）</w:t>
      </w:r>
      <w:r>
        <w:rPr>
          <w:rStyle w:val="17"/>
          <w:rFonts w:hint="eastAsia" w:ascii="仿宋" w:hAnsi="仿宋" w:eastAsia="仿宋"/>
          <w:bCs/>
          <w:color w:val="auto"/>
          <w:sz w:val="32"/>
          <w:szCs w:val="32"/>
          <w:lang w:eastAsia="zh-CN"/>
        </w:rPr>
        <w:t>：</w:t>
      </w:r>
      <w:r>
        <w:rPr>
          <w:rStyle w:val="17"/>
          <w:rFonts w:ascii="仿宋" w:hAnsi="仿宋" w:eastAsia="仿宋"/>
          <w:b w:val="0"/>
          <w:bCs/>
          <w:color w:val="auto"/>
          <w:sz w:val="32"/>
          <w:szCs w:val="32"/>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341.65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Style w:val="17"/>
          <w:rFonts w:hint="eastAsia" w:ascii="仿宋" w:hAnsi="仿宋" w:eastAsia="仿宋"/>
          <w:b w:val="0"/>
          <w:bCs/>
          <w:color w:val="auto"/>
          <w:sz w:val="32"/>
          <w:szCs w:val="32"/>
        </w:rPr>
        <w:t>决算数等于预算数。</w:t>
      </w:r>
    </w:p>
    <w:p>
      <w:pPr>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rStyle w:val="17"/>
          <w:rFonts w:ascii="仿宋" w:hAnsi="仿宋" w:eastAsia="仿宋"/>
          <w:b w:val="0"/>
          <w:bCs/>
          <w:color w:val="auto"/>
          <w:sz w:val="32"/>
          <w:szCs w:val="32"/>
        </w:rPr>
      </w:pPr>
      <w:r>
        <w:rPr>
          <w:rStyle w:val="17"/>
          <w:rFonts w:hint="eastAsia" w:ascii="仿宋" w:hAnsi="仿宋" w:eastAsia="仿宋"/>
          <w:bCs/>
          <w:color w:val="auto"/>
          <w:sz w:val="32"/>
          <w:szCs w:val="32"/>
        </w:rPr>
        <w:t>社会保障和就业支出（类）人力资源和社会保障管理事务（款）社会保险业务管理事务（项）</w:t>
      </w:r>
      <w:r>
        <w:rPr>
          <w:rStyle w:val="17"/>
          <w:rFonts w:hint="eastAsia" w:ascii="仿宋" w:hAnsi="仿宋" w:eastAsia="仿宋"/>
          <w:bCs/>
          <w:color w:val="auto"/>
          <w:sz w:val="32"/>
          <w:szCs w:val="32"/>
          <w:lang w:eastAsia="zh-CN"/>
        </w:rPr>
        <w:t>：</w:t>
      </w:r>
      <w:r>
        <w:rPr>
          <w:rStyle w:val="17"/>
          <w:rFonts w:ascii="仿宋" w:hAnsi="仿宋" w:eastAsia="仿宋"/>
          <w:b w:val="0"/>
          <w:bCs/>
          <w:color w:val="auto"/>
          <w:sz w:val="32"/>
          <w:szCs w:val="32"/>
        </w:rPr>
        <w:t xml:space="preserve"> </w:t>
      </w:r>
      <w:r>
        <w:rPr>
          <w:rStyle w:val="17"/>
          <w:rFonts w:hint="eastAsia" w:ascii="仿宋" w:hAnsi="仿宋" w:eastAsia="仿宋"/>
          <w:b w:val="0"/>
          <w:bCs/>
          <w:color w:val="auto"/>
          <w:sz w:val="32"/>
          <w:szCs w:val="32"/>
        </w:rPr>
        <w:t>支出决算为</w:t>
      </w:r>
      <w:r>
        <w:rPr>
          <w:rStyle w:val="17"/>
          <w:rFonts w:hint="eastAsia" w:ascii="仿宋" w:hAnsi="仿宋" w:eastAsia="仿宋"/>
          <w:b w:val="0"/>
          <w:bCs/>
          <w:color w:val="auto"/>
          <w:sz w:val="32"/>
          <w:szCs w:val="32"/>
          <w:lang w:val="en-US" w:eastAsia="zh-CN"/>
        </w:rPr>
        <w:t>10.32</w:t>
      </w:r>
      <w:r>
        <w:rPr>
          <w:rStyle w:val="17"/>
          <w:rFonts w:hint="eastAsia" w:ascii="仿宋" w:hAnsi="仿宋" w:eastAsia="仿宋"/>
          <w:b w:val="0"/>
          <w:bCs/>
          <w:color w:val="auto"/>
          <w:sz w:val="32"/>
          <w:szCs w:val="32"/>
        </w:rPr>
        <w:t>万元，完成预算</w:t>
      </w:r>
      <w:r>
        <w:rPr>
          <w:rStyle w:val="17"/>
          <w:rFonts w:hint="eastAsia" w:ascii="仿宋" w:hAnsi="仿宋" w:eastAsia="仿宋"/>
          <w:b w:val="0"/>
          <w:bCs/>
          <w:color w:val="auto"/>
          <w:sz w:val="32"/>
          <w:szCs w:val="32"/>
          <w:lang w:val="en-US" w:eastAsia="zh-CN"/>
        </w:rPr>
        <w:t>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w:t>
      </w:r>
      <w:r>
        <w:rPr>
          <w:rStyle w:val="17"/>
          <w:rFonts w:hint="eastAsia" w:ascii="仿宋" w:hAnsi="仿宋" w:eastAsia="仿宋"/>
          <w:b w:val="0"/>
          <w:bCs/>
          <w:color w:val="auto"/>
          <w:sz w:val="32"/>
          <w:szCs w:val="32"/>
          <w:lang w:val="en-US" w:eastAsia="zh-CN"/>
        </w:rPr>
        <w:t>等于</w:t>
      </w:r>
      <w:r>
        <w:rPr>
          <w:rStyle w:val="17"/>
          <w:rFonts w:hint="eastAsia" w:ascii="仿宋" w:hAnsi="仿宋" w:eastAsia="仿宋"/>
          <w:b w:val="0"/>
          <w:bCs/>
          <w:color w:val="auto"/>
          <w:sz w:val="32"/>
          <w:szCs w:val="32"/>
        </w:rPr>
        <w:t>预算数。</w:t>
      </w:r>
    </w:p>
    <w:p>
      <w:pPr>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rStyle w:val="17"/>
          <w:rFonts w:ascii="仿宋" w:hAnsi="仿宋" w:eastAsia="仿宋"/>
          <w:b w:val="0"/>
          <w:bCs/>
          <w:color w:val="auto"/>
          <w:sz w:val="32"/>
          <w:szCs w:val="32"/>
        </w:rPr>
      </w:pPr>
      <w:r>
        <w:rPr>
          <w:rStyle w:val="17"/>
          <w:rFonts w:hint="eastAsia" w:ascii="仿宋" w:hAnsi="仿宋" w:eastAsia="仿宋"/>
          <w:bCs/>
          <w:color w:val="auto"/>
          <w:sz w:val="32"/>
          <w:szCs w:val="32"/>
        </w:rPr>
        <w:t>社会保障和就业支出（类）人力资源和社会保障管理事务（款）信息化建设（项）</w:t>
      </w:r>
      <w:r>
        <w:rPr>
          <w:rStyle w:val="17"/>
          <w:rFonts w:hint="eastAsia" w:ascii="仿宋" w:hAnsi="仿宋" w:eastAsia="仿宋"/>
          <w:bCs/>
          <w:color w:val="auto"/>
          <w:sz w:val="32"/>
          <w:szCs w:val="32"/>
          <w:lang w:eastAsia="zh-CN"/>
        </w:rPr>
        <w:t>：</w:t>
      </w:r>
      <w:r>
        <w:rPr>
          <w:rStyle w:val="17"/>
          <w:rFonts w:ascii="仿宋" w:hAnsi="仿宋" w:eastAsia="仿宋"/>
          <w:b w:val="0"/>
          <w:bCs/>
          <w:color w:val="auto"/>
          <w:sz w:val="32"/>
          <w:szCs w:val="32"/>
        </w:rPr>
        <w:t xml:space="preserve"> </w:t>
      </w:r>
      <w:r>
        <w:rPr>
          <w:rStyle w:val="17"/>
          <w:rFonts w:hint="eastAsia" w:ascii="仿宋" w:hAnsi="仿宋" w:eastAsia="仿宋"/>
          <w:b w:val="0"/>
          <w:bCs/>
          <w:color w:val="auto"/>
          <w:sz w:val="32"/>
          <w:szCs w:val="32"/>
        </w:rPr>
        <w:t>支出决算为</w:t>
      </w:r>
      <w:r>
        <w:rPr>
          <w:rStyle w:val="17"/>
          <w:rFonts w:hint="eastAsia" w:ascii="仿宋" w:hAnsi="仿宋" w:eastAsia="仿宋"/>
          <w:b w:val="0"/>
          <w:bCs/>
          <w:color w:val="auto"/>
          <w:sz w:val="32"/>
          <w:szCs w:val="32"/>
          <w:lang w:val="en-US" w:eastAsia="zh-CN"/>
        </w:rPr>
        <w:t>464.22</w:t>
      </w:r>
      <w:r>
        <w:rPr>
          <w:rStyle w:val="17"/>
          <w:rFonts w:hint="eastAsia" w:ascii="仿宋" w:hAnsi="仿宋" w:eastAsia="仿宋"/>
          <w:b w:val="0"/>
          <w:bCs/>
          <w:color w:val="auto"/>
          <w:sz w:val="32"/>
          <w:szCs w:val="32"/>
        </w:rPr>
        <w:t>万元，完成预算</w:t>
      </w:r>
      <w:r>
        <w:rPr>
          <w:rStyle w:val="17"/>
          <w:rFonts w:hint="eastAsia" w:ascii="仿宋" w:hAnsi="仿宋" w:eastAsia="仿宋"/>
          <w:b w:val="0"/>
          <w:bCs/>
          <w:color w:val="auto"/>
          <w:sz w:val="32"/>
          <w:szCs w:val="32"/>
          <w:lang w:val="en-US" w:eastAsia="zh-CN"/>
        </w:rPr>
        <w:t>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w:t>
      </w:r>
      <w:r>
        <w:rPr>
          <w:rStyle w:val="17"/>
          <w:rFonts w:hint="eastAsia" w:ascii="仿宋" w:hAnsi="仿宋" w:eastAsia="仿宋"/>
          <w:b w:val="0"/>
          <w:bCs/>
          <w:color w:val="auto"/>
          <w:sz w:val="32"/>
          <w:szCs w:val="32"/>
          <w:lang w:val="en-US" w:eastAsia="zh-CN"/>
        </w:rPr>
        <w:t>等于</w:t>
      </w:r>
      <w:r>
        <w:rPr>
          <w:rStyle w:val="17"/>
          <w:rFonts w:hint="eastAsia" w:ascii="仿宋" w:hAnsi="仿宋" w:eastAsia="仿宋"/>
          <w:b w:val="0"/>
          <w:bCs/>
          <w:color w:val="auto"/>
          <w:sz w:val="32"/>
          <w:szCs w:val="32"/>
        </w:rPr>
        <w:t>预算数。</w:t>
      </w:r>
    </w:p>
    <w:p>
      <w:pPr>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rStyle w:val="17"/>
          <w:rFonts w:ascii="仿宋" w:hAnsi="仿宋" w:eastAsia="仿宋"/>
          <w:b w:val="0"/>
          <w:bCs/>
          <w:color w:val="auto"/>
          <w:sz w:val="32"/>
          <w:szCs w:val="32"/>
        </w:rPr>
      </w:pPr>
      <w:r>
        <w:rPr>
          <w:rStyle w:val="17"/>
          <w:rFonts w:hint="eastAsia" w:ascii="仿宋" w:hAnsi="仿宋" w:eastAsia="仿宋"/>
          <w:bCs/>
          <w:color w:val="auto"/>
          <w:sz w:val="32"/>
          <w:szCs w:val="32"/>
        </w:rPr>
        <w:t>社会保障和就业支出（类）人力资源和社会保障管理事务（款）劳动关系和维权（项）</w:t>
      </w:r>
      <w:r>
        <w:rPr>
          <w:rStyle w:val="17"/>
          <w:rFonts w:hint="eastAsia" w:ascii="仿宋" w:hAnsi="仿宋" w:eastAsia="仿宋"/>
          <w:bCs/>
          <w:color w:val="auto"/>
          <w:sz w:val="32"/>
          <w:szCs w:val="32"/>
          <w:lang w:eastAsia="zh-CN"/>
        </w:rPr>
        <w:t>：</w:t>
      </w:r>
      <w:r>
        <w:rPr>
          <w:rStyle w:val="17"/>
          <w:rFonts w:ascii="仿宋" w:hAnsi="仿宋" w:eastAsia="仿宋"/>
          <w:b w:val="0"/>
          <w:bCs/>
          <w:color w:val="auto"/>
          <w:sz w:val="32"/>
          <w:szCs w:val="32"/>
        </w:rPr>
        <w:t xml:space="preserve"> </w:t>
      </w:r>
      <w:r>
        <w:rPr>
          <w:rStyle w:val="17"/>
          <w:rFonts w:hint="eastAsia" w:ascii="仿宋" w:hAnsi="仿宋" w:eastAsia="仿宋"/>
          <w:b w:val="0"/>
          <w:bCs/>
          <w:color w:val="auto"/>
          <w:sz w:val="32"/>
          <w:szCs w:val="32"/>
        </w:rPr>
        <w:t>支出决算为</w:t>
      </w:r>
      <w:r>
        <w:rPr>
          <w:rStyle w:val="17"/>
          <w:rFonts w:hint="eastAsia" w:ascii="仿宋" w:hAnsi="仿宋" w:eastAsia="仿宋"/>
          <w:b w:val="0"/>
          <w:bCs/>
          <w:color w:val="auto"/>
          <w:sz w:val="32"/>
          <w:szCs w:val="32"/>
          <w:lang w:val="en-US" w:eastAsia="zh-CN"/>
        </w:rPr>
        <w:t>72.25</w:t>
      </w:r>
      <w:r>
        <w:rPr>
          <w:rStyle w:val="17"/>
          <w:rFonts w:hint="eastAsia" w:ascii="仿宋" w:hAnsi="仿宋" w:eastAsia="仿宋"/>
          <w:b w:val="0"/>
          <w:bCs/>
          <w:color w:val="auto"/>
          <w:sz w:val="32"/>
          <w:szCs w:val="32"/>
        </w:rPr>
        <w:t>万元，完成预算</w:t>
      </w:r>
      <w:r>
        <w:rPr>
          <w:rStyle w:val="17"/>
          <w:rFonts w:hint="eastAsia" w:ascii="仿宋" w:hAnsi="仿宋" w:eastAsia="仿宋"/>
          <w:b w:val="0"/>
          <w:bCs/>
          <w:color w:val="auto"/>
          <w:sz w:val="32"/>
          <w:szCs w:val="32"/>
          <w:lang w:val="en-US" w:eastAsia="zh-CN"/>
        </w:rPr>
        <w:t>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w:t>
      </w:r>
      <w:r>
        <w:rPr>
          <w:rStyle w:val="17"/>
          <w:rFonts w:hint="eastAsia" w:ascii="仿宋" w:hAnsi="仿宋" w:eastAsia="仿宋"/>
          <w:b w:val="0"/>
          <w:bCs/>
          <w:color w:val="auto"/>
          <w:sz w:val="32"/>
          <w:szCs w:val="32"/>
          <w:lang w:val="en-US" w:eastAsia="zh-CN"/>
        </w:rPr>
        <w:t>等于</w:t>
      </w:r>
      <w:r>
        <w:rPr>
          <w:rStyle w:val="17"/>
          <w:rFonts w:hint="eastAsia" w:ascii="仿宋" w:hAnsi="仿宋" w:eastAsia="仿宋"/>
          <w:b w:val="0"/>
          <w:bCs/>
          <w:color w:val="auto"/>
          <w:sz w:val="32"/>
          <w:szCs w:val="32"/>
        </w:rPr>
        <w:t>预算数。</w:t>
      </w:r>
    </w:p>
    <w:p>
      <w:pPr>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rStyle w:val="17"/>
          <w:rFonts w:hint="eastAsia" w:ascii="仿宋" w:hAnsi="仿宋" w:eastAsia="仿宋"/>
          <w:b w:val="0"/>
          <w:bCs/>
          <w:color w:val="auto"/>
          <w:sz w:val="32"/>
          <w:szCs w:val="32"/>
        </w:rPr>
      </w:pPr>
      <w:r>
        <w:rPr>
          <w:rStyle w:val="17"/>
          <w:rFonts w:hint="eastAsia" w:ascii="仿宋" w:hAnsi="仿宋" w:eastAsia="仿宋"/>
          <w:bCs/>
          <w:color w:val="auto"/>
          <w:sz w:val="32"/>
          <w:szCs w:val="32"/>
        </w:rPr>
        <w:t>社会保障和就业支出（类）人力资源和社会保障管理事务（款）</w:t>
      </w:r>
      <w:r>
        <w:rPr>
          <w:rStyle w:val="17"/>
          <w:rFonts w:hint="eastAsia" w:ascii="仿宋" w:hAnsi="仿宋" w:eastAsia="仿宋"/>
          <w:bCs/>
          <w:color w:val="auto"/>
          <w:sz w:val="32"/>
          <w:szCs w:val="32"/>
          <w:lang w:val="en-US" w:eastAsia="zh-CN"/>
        </w:rPr>
        <w:t>政府特殊津贴</w:t>
      </w:r>
      <w:r>
        <w:rPr>
          <w:rStyle w:val="17"/>
          <w:rFonts w:hint="eastAsia" w:ascii="仿宋" w:hAnsi="仿宋" w:eastAsia="仿宋"/>
          <w:bCs/>
          <w:color w:val="auto"/>
          <w:sz w:val="32"/>
          <w:szCs w:val="32"/>
        </w:rPr>
        <w:t>（项）</w:t>
      </w:r>
      <w:r>
        <w:rPr>
          <w:rStyle w:val="17"/>
          <w:rFonts w:hint="eastAsia" w:ascii="仿宋" w:hAnsi="仿宋" w:eastAsia="仿宋"/>
          <w:bCs/>
          <w:color w:val="auto"/>
          <w:sz w:val="32"/>
          <w:szCs w:val="32"/>
          <w:lang w:eastAsia="zh-CN"/>
        </w:rPr>
        <w:t>：</w:t>
      </w:r>
      <w:r>
        <w:rPr>
          <w:rStyle w:val="17"/>
          <w:rFonts w:ascii="仿宋" w:hAnsi="仿宋" w:eastAsia="仿宋"/>
          <w:b w:val="0"/>
          <w:bCs/>
          <w:color w:val="auto"/>
          <w:sz w:val="32"/>
          <w:szCs w:val="32"/>
        </w:rPr>
        <w:t xml:space="preserve"> 支出</w:t>
      </w:r>
      <w:r>
        <w:rPr>
          <w:rStyle w:val="17"/>
          <w:rFonts w:hint="eastAsia" w:ascii="仿宋" w:hAnsi="仿宋" w:eastAsia="仿宋"/>
          <w:b w:val="0"/>
          <w:bCs/>
          <w:color w:val="auto"/>
          <w:sz w:val="32"/>
          <w:szCs w:val="32"/>
        </w:rPr>
        <w:t>决算为</w:t>
      </w:r>
      <w:r>
        <w:rPr>
          <w:rStyle w:val="17"/>
          <w:rFonts w:hint="eastAsia" w:ascii="仿宋" w:hAnsi="仿宋" w:eastAsia="仿宋"/>
          <w:b w:val="0"/>
          <w:bCs/>
          <w:color w:val="auto"/>
          <w:sz w:val="32"/>
          <w:szCs w:val="32"/>
          <w:lang w:val="en-US" w:eastAsia="zh-CN"/>
        </w:rPr>
        <w:t>50.76</w:t>
      </w:r>
      <w:r>
        <w:rPr>
          <w:rStyle w:val="17"/>
          <w:rFonts w:hint="eastAsia" w:ascii="仿宋" w:hAnsi="仿宋" w:eastAsia="仿宋"/>
          <w:b w:val="0"/>
          <w:bCs/>
          <w:color w:val="auto"/>
          <w:sz w:val="32"/>
          <w:szCs w:val="32"/>
        </w:rPr>
        <w:t>万元，完成预算100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，决算数等于预算数。</w:t>
      </w:r>
    </w:p>
    <w:p>
      <w:pPr>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rStyle w:val="17"/>
          <w:rFonts w:hint="eastAsia" w:ascii="仿宋" w:hAnsi="仿宋" w:eastAsia="仿宋"/>
          <w:b w:val="0"/>
          <w:bCs/>
          <w:color w:val="auto"/>
          <w:sz w:val="32"/>
          <w:szCs w:val="32"/>
        </w:rPr>
      </w:pPr>
      <w:r>
        <w:rPr>
          <w:rStyle w:val="17"/>
          <w:rFonts w:hint="eastAsia" w:ascii="仿宋" w:hAnsi="仿宋" w:eastAsia="仿宋"/>
          <w:bCs/>
          <w:color w:val="auto"/>
          <w:sz w:val="32"/>
          <w:szCs w:val="32"/>
        </w:rPr>
        <w:t>社会保障和就业支出（类）人力资源和社会保障管理事务（款）</w:t>
      </w:r>
      <w:r>
        <w:rPr>
          <w:rStyle w:val="17"/>
          <w:rFonts w:hint="eastAsia" w:ascii="仿宋" w:hAnsi="仿宋" w:eastAsia="仿宋"/>
          <w:bCs/>
          <w:color w:val="auto"/>
          <w:sz w:val="32"/>
          <w:szCs w:val="32"/>
          <w:lang w:val="en-US" w:eastAsia="zh-CN"/>
        </w:rPr>
        <w:t>事业运行</w:t>
      </w:r>
      <w:r>
        <w:rPr>
          <w:rStyle w:val="17"/>
          <w:rFonts w:hint="eastAsia" w:ascii="仿宋" w:hAnsi="仿宋" w:eastAsia="仿宋"/>
          <w:bCs/>
          <w:color w:val="auto"/>
          <w:sz w:val="32"/>
          <w:szCs w:val="32"/>
        </w:rPr>
        <w:t>（项）</w:t>
      </w:r>
      <w:r>
        <w:rPr>
          <w:rStyle w:val="17"/>
          <w:rFonts w:hint="eastAsia" w:ascii="仿宋" w:hAnsi="仿宋" w:eastAsia="仿宋"/>
          <w:bCs/>
          <w:color w:val="auto"/>
          <w:sz w:val="32"/>
          <w:szCs w:val="32"/>
          <w:lang w:eastAsia="zh-CN"/>
        </w:rPr>
        <w:t>：</w:t>
      </w:r>
      <w:r>
        <w:rPr>
          <w:rStyle w:val="17"/>
          <w:rFonts w:ascii="仿宋" w:hAnsi="仿宋" w:eastAsia="仿宋"/>
          <w:b w:val="0"/>
          <w:bCs/>
          <w:color w:val="auto"/>
          <w:sz w:val="32"/>
          <w:szCs w:val="32"/>
        </w:rPr>
        <w:t xml:space="preserve"> 支出</w:t>
      </w:r>
      <w:r>
        <w:rPr>
          <w:rStyle w:val="17"/>
          <w:rFonts w:hint="eastAsia" w:ascii="仿宋" w:hAnsi="仿宋" w:eastAsia="仿宋"/>
          <w:b w:val="0"/>
          <w:bCs/>
          <w:color w:val="auto"/>
          <w:sz w:val="32"/>
          <w:szCs w:val="32"/>
        </w:rPr>
        <w:t>决算为</w:t>
      </w:r>
      <w:r>
        <w:rPr>
          <w:rStyle w:val="17"/>
          <w:rFonts w:hint="eastAsia" w:ascii="仿宋" w:hAnsi="仿宋" w:eastAsia="仿宋"/>
          <w:b w:val="0"/>
          <w:bCs/>
          <w:color w:val="auto"/>
          <w:sz w:val="32"/>
          <w:szCs w:val="32"/>
          <w:lang w:val="en-US" w:eastAsia="zh-CN"/>
        </w:rPr>
        <w:t>240.74</w:t>
      </w:r>
      <w:r>
        <w:rPr>
          <w:rStyle w:val="17"/>
          <w:rFonts w:hint="eastAsia" w:ascii="仿宋" w:hAnsi="仿宋" w:eastAsia="仿宋"/>
          <w:b w:val="0"/>
          <w:bCs/>
          <w:color w:val="auto"/>
          <w:sz w:val="32"/>
          <w:szCs w:val="32"/>
        </w:rPr>
        <w:t>万元，完成预算</w:t>
      </w:r>
      <w:r>
        <w:rPr>
          <w:rStyle w:val="17"/>
          <w:rFonts w:hint="eastAsia" w:ascii="仿宋" w:hAnsi="仿宋" w:eastAsia="仿宋"/>
          <w:b w:val="0"/>
          <w:bCs/>
          <w:color w:val="auto"/>
          <w:sz w:val="32"/>
          <w:szCs w:val="32"/>
          <w:lang w:eastAsia="zh-CN"/>
        </w:rPr>
        <w:t>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，决算数等于预算数。</w:t>
      </w:r>
    </w:p>
    <w:p>
      <w:pPr>
        <w:pStyle w:val="12"/>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rStyle w:val="17"/>
          <w:rFonts w:hint="eastAsia" w:ascii="仿宋" w:hAnsi="仿宋" w:eastAsia="仿宋"/>
          <w:b w:val="0"/>
          <w:bCs/>
          <w:color w:val="auto"/>
          <w:sz w:val="32"/>
          <w:szCs w:val="32"/>
          <w:lang w:eastAsia="zh-CN"/>
        </w:rPr>
      </w:pPr>
      <w:r>
        <w:rPr>
          <w:rStyle w:val="17"/>
          <w:rFonts w:hint="eastAsia" w:ascii="仿宋" w:hAnsi="仿宋" w:eastAsia="仿宋"/>
          <w:bCs/>
          <w:color w:val="auto"/>
          <w:sz w:val="32"/>
          <w:szCs w:val="32"/>
        </w:rPr>
        <w:t>社会保障和就业支出（类）人力资源和社会保障管理事务（款）其他人力资源和社会保障管理事务支出（项）</w:t>
      </w:r>
      <w:r>
        <w:rPr>
          <w:rStyle w:val="17"/>
          <w:rFonts w:hint="eastAsia" w:ascii="仿宋" w:hAnsi="仿宋" w:eastAsia="仿宋"/>
          <w:bCs/>
          <w:color w:val="auto"/>
          <w:sz w:val="32"/>
          <w:szCs w:val="32"/>
          <w:lang w:eastAsia="zh-CN"/>
        </w:rPr>
        <w:t>：</w:t>
      </w:r>
      <w:r>
        <w:rPr>
          <w:rStyle w:val="17"/>
          <w:rFonts w:ascii="仿宋" w:hAnsi="仿宋" w:eastAsia="仿宋"/>
          <w:b w:val="0"/>
          <w:bCs/>
          <w:color w:val="auto"/>
          <w:sz w:val="32"/>
          <w:szCs w:val="32"/>
        </w:rPr>
        <w:t xml:space="preserve"> 支出</w:t>
      </w:r>
      <w:r>
        <w:rPr>
          <w:rStyle w:val="17"/>
          <w:rFonts w:hint="eastAsia" w:ascii="仿宋" w:hAnsi="仿宋" w:eastAsia="仿宋"/>
          <w:b w:val="0"/>
          <w:bCs/>
          <w:color w:val="auto"/>
          <w:sz w:val="32"/>
          <w:szCs w:val="32"/>
        </w:rPr>
        <w:t>决算为</w:t>
      </w:r>
      <w:r>
        <w:rPr>
          <w:rStyle w:val="17"/>
          <w:rFonts w:hint="eastAsia" w:ascii="仿宋" w:hAnsi="仿宋" w:eastAsia="仿宋"/>
          <w:b w:val="0"/>
          <w:bCs/>
          <w:color w:val="auto"/>
          <w:sz w:val="32"/>
          <w:szCs w:val="32"/>
          <w:lang w:val="en-US" w:eastAsia="zh-CN"/>
        </w:rPr>
        <w:t>88.88</w:t>
      </w:r>
      <w:r>
        <w:rPr>
          <w:rStyle w:val="17"/>
          <w:rFonts w:hint="eastAsia" w:ascii="仿宋" w:hAnsi="仿宋" w:eastAsia="仿宋"/>
          <w:b w:val="0"/>
          <w:bCs/>
          <w:color w:val="auto"/>
          <w:sz w:val="32"/>
          <w:szCs w:val="32"/>
        </w:rPr>
        <w:t>万元，完成预算</w:t>
      </w:r>
      <w:r>
        <w:rPr>
          <w:rStyle w:val="17"/>
          <w:rFonts w:hint="eastAsia" w:ascii="仿宋" w:hAnsi="仿宋" w:eastAsia="仿宋"/>
          <w:b w:val="0"/>
          <w:bCs/>
          <w:color w:val="auto"/>
          <w:sz w:val="32"/>
          <w:szCs w:val="32"/>
          <w:lang w:val="en-US" w:eastAsia="zh-CN"/>
        </w:rPr>
        <w:t>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w:t>
      </w:r>
      <w:r>
        <w:rPr>
          <w:rStyle w:val="17"/>
          <w:rFonts w:hint="eastAsia" w:ascii="仿宋" w:hAnsi="仿宋" w:eastAsia="仿宋"/>
          <w:b w:val="0"/>
          <w:bCs/>
          <w:color w:val="auto"/>
          <w:sz w:val="32"/>
          <w:szCs w:val="32"/>
          <w:lang w:val="en-US" w:eastAsia="zh-CN"/>
        </w:rPr>
        <w:t>等于</w:t>
      </w:r>
      <w:r>
        <w:rPr>
          <w:rStyle w:val="17"/>
          <w:rFonts w:hint="eastAsia" w:ascii="仿宋" w:hAnsi="仿宋" w:eastAsia="仿宋"/>
          <w:b w:val="0"/>
          <w:bCs/>
          <w:color w:val="auto"/>
          <w:sz w:val="32"/>
          <w:szCs w:val="32"/>
        </w:rPr>
        <w:t>预算数</w:t>
      </w:r>
      <w:r>
        <w:rPr>
          <w:rStyle w:val="17"/>
          <w:rFonts w:hint="eastAsia" w:ascii="仿宋" w:hAnsi="仿宋" w:eastAsia="仿宋"/>
          <w:b w:val="0"/>
          <w:bCs/>
          <w:color w:val="auto"/>
          <w:sz w:val="32"/>
          <w:szCs w:val="32"/>
          <w:lang w:eastAsia="zh-CN"/>
        </w:rPr>
        <w:t>。</w:t>
      </w:r>
    </w:p>
    <w:p>
      <w:pPr>
        <w:pStyle w:val="12"/>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color w:val="auto"/>
        </w:rPr>
      </w:pPr>
      <w:r>
        <w:rPr>
          <w:rStyle w:val="17"/>
          <w:rFonts w:hint="eastAsia" w:ascii="仿宋" w:hAnsi="仿宋" w:eastAsia="仿宋"/>
          <w:bCs/>
          <w:color w:val="auto"/>
          <w:sz w:val="32"/>
          <w:szCs w:val="32"/>
        </w:rPr>
        <w:t>社会保障和就业支出（类）行政事业单位养老支出（款）行政单位离退休（项）</w:t>
      </w:r>
      <w:r>
        <w:rPr>
          <w:rStyle w:val="17"/>
          <w:rFonts w:hint="eastAsia" w:ascii="仿宋" w:hAnsi="仿宋" w:eastAsia="仿宋"/>
          <w:bCs/>
          <w:color w:val="auto"/>
          <w:sz w:val="32"/>
          <w:szCs w:val="32"/>
          <w:lang w:eastAsia="zh-CN"/>
        </w:rPr>
        <w:t>：</w:t>
      </w:r>
      <w:r>
        <w:rPr>
          <w:rStyle w:val="17"/>
          <w:rFonts w:ascii="仿宋" w:hAnsi="仿宋" w:eastAsia="仿宋"/>
          <w:b w:val="0"/>
          <w:bCs/>
          <w:color w:val="auto"/>
          <w:sz w:val="32"/>
          <w:szCs w:val="32"/>
        </w:rPr>
        <w:t>支出</w:t>
      </w:r>
      <w:r>
        <w:rPr>
          <w:rStyle w:val="17"/>
          <w:rFonts w:hint="eastAsia" w:ascii="仿宋" w:hAnsi="仿宋" w:eastAsia="仿宋"/>
          <w:b w:val="0"/>
          <w:bCs/>
          <w:color w:val="auto"/>
          <w:sz w:val="32"/>
          <w:szCs w:val="32"/>
        </w:rPr>
        <w:t>决算为</w:t>
      </w:r>
      <w:r>
        <w:rPr>
          <w:rStyle w:val="17"/>
          <w:rFonts w:hint="eastAsia" w:ascii="仿宋" w:hAnsi="仿宋" w:eastAsia="仿宋"/>
          <w:b w:val="0"/>
          <w:bCs/>
          <w:color w:val="auto"/>
          <w:sz w:val="32"/>
          <w:szCs w:val="32"/>
          <w:lang w:val="en-US" w:eastAsia="zh-CN"/>
        </w:rPr>
        <w:t>0.3</w:t>
      </w:r>
      <w:r>
        <w:rPr>
          <w:rStyle w:val="17"/>
          <w:rFonts w:hint="eastAsia" w:ascii="仿宋" w:hAnsi="仿宋" w:eastAsia="仿宋"/>
          <w:b w:val="0"/>
          <w:bCs/>
          <w:color w:val="auto"/>
          <w:sz w:val="32"/>
          <w:szCs w:val="32"/>
        </w:rPr>
        <w:t>万元，完成预算</w:t>
      </w:r>
      <w:r>
        <w:rPr>
          <w:rStyle w:val="17"/>
          <w:rFonts w:hint="eastAsia" w:ascii="仿宋" w:hAnsi="仿宋" w:eastAsia="仿宋"/>
          <w:b w:val="0"/>
          <w:bCs/>
          <w:color w:val="auto"/>
          <w:sz w:val="32"/>
          <w:szCs w:val="32"/>
          <w:lang w:val="en-US" w:eastAsia="zh-CN"/>
        </w:rPr>
        <w:t>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，决算数等于预算数。</w:t>
      </w:r>
    </w:p>
    <w:p>
      <w:pPr>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rStyle w:val="17"/>
          <w:rFonts w:ascii="仿宋" w:hAnsi="仿宋" w:eastAsia="仿宋"/>
          <w:b w:val="0"/>
          <w:bCs/>
          <w:color w:val="auto"/>
          <w:sz w:val="32"/>
          <w:szCs w:val="32"/>
        </w:rPr>
      </w:pPr>
      <w:r>
        <w:rPr>
          <w:rStyle w:val="17"/>
          <w:rFonts w:hint="eastAsia" w:ascii="仿宋" w:hAnsi="仿宋" w:eastAsia="仿宋"/>
          <w:bCs/>
          <w:color w:val="auto"/>
          <w:sz w:val="32"/>
          <w:szCs w:val="32"/>
        </w:rPr>
        <w:t>社会保障和就业支出（类）行政事业单位养老支出（款）机关事业单位基本养老保险缴费支出（项）</w:t>
      </w:r>
      <w:r>
        <w:rPr>
          <w:rStyle w:val="17"/>
          <w:rFonts w:hint="eastAsia" w:ascii="仿宋" w:hAnsi="仿宋" w:eastAsia="仿宋"/>
          <w:bCs/>
          <w:color w:val="auto"/>
          <w:sz w:val="32"/>
          <w:szCs w:val="32"/>
          <w:lang w:eastAsia="zh-CN"/>
        </w:rPr>
        <w:t>：</w:t>
      </w:r>
      <w:r>
        <w:rPr>
          <w:rStyle w:val="17"/>
          <w:rFonts w:ascii="仿宋" w:hAnsi="仿宋" w:eastAsia="仿宋"/>
          <w:b w:val="0"/>
          <w:bCs/>
          <w:color w:val="auto"/>
          <w:sz w:val="32"/>
          <w:szCs w:val="32"/>
        </w:rPr>
        <w:t xml:space="preserve"> 支出</w:t>
      </w:r>
      <w:r>
        <w:rPr>
          <w:rStyle w:val="17"/>
          <w:rFonts w:hint="eastAsia" w:ascii="仿宋" w:hAnsi="仿宋" w:eastAsia="仿宋"/>
          <w:b w:val="0"/>
          <w:bCs/>
          <w:color w:val="auto"/>
          <w:sz w:val="32"/>
          <w:szCs w:val="32"/>
        </w:rPr>
        <w:t>决算为</w:t>
      </w:r>
      <w:r>
        <w:rPr>
          <w:rStyle w:val="17"/>
          <w:rFonts w:hint="eastAsia" w:ascii="仿宋" w:hAnsi="仿宋" w:eastAsia="仿宋"/>
          <w:b w:val="0"/>
          <w:bCs/>
          <w:color w:val="auto"/>
          <w:sz w:val="32"/>
          <w:szCs w:val="32"/>
          <w:lang w:val="en-US" w:eastAsia="zh-CN"/>
        </w:rPr>
        <w:t>99.78</w:t>
      </w:r>
      <w:r>
        <w:rPr>
          <w:rStyle w:val="17"/>
          <w:rFonts w:hint="eastAsia" w:ascii="仿宋" w:hAnsi="仿宋" w:eastAsia="仿宋"/>
          <w:b w:val="0"/>
          <w:bCs/>
          <w:color w:val="auto"/>
          <w:sz w:val="32"/>
          <w:szCs w:val="32"/>
        </w:rPr>
        <w:t>万元，完成预算100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，决算数等于预算数。</w:t>
      </w:r>
    </w:p>
    <w:p>
      <w:pPr>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rStyle w:val="17"/>
          <w:rFonts w:ascii="仿宋" w:hAnsi="仿宋" w:eastAsia="仿宋"/>
          <w:b w:val="0"/>
          <w:bCs/>
          <w:color w:val="auto"/>
          <w:sz w:val="32"/>
          <w:szCs w:val="32"/>
        </w:rPr>
      </w:pPr>
      <w:r>
        <w:rPr>
          <w:rStyle w:val="17"/>
          <w:rFonts w:hint="eastAsia" w:ascii="仿宋" w:hAnsi="仿宋" w:eastAsia="仿宋"/>
          <w:bCs/>
          <w:color w:val="auto"/>
          <w:sz w:val="32"/>
          <w:szCs w:val="32"/>
        </w:rPr>
        <w:t>社会保障和就业支出（类）行政事业单位养老支出（款）机关事业单位职业年金缴费支出（项）</w:t>
      </w:r>
      <w:r>
        <w:rPr>
          <w:rStyle w:val="17"/>
          <w:rFonts w:hint="eastAsia" w:ascii="仿宋" w:hAnsi="仿宋" w:eastAsia="仿宋"/>
          <w:bCs/>
          <w:color w:val="auto"/>
          <w:sz w:val="32"/>
          <w:szCs w:val="32"/>
          <w:lang w:eastAsia="zh-CN"/>
        </w:rPr>
        <w:t>：</w:t>
      </w:r>
      <w:r>
        <w:rPr>
          <w:rStyle w:val="17"/>
          <w:rFonts w:ascii="仿宋" w:hAnsi="仿宋" w:eastAsia="仿宋"/>
          <w:b w:val="0"/>
          <w:bCs/>
          <w:color w:val="auto"/>
          <w:sz w:val="32"/>
          <w:szCs w:val="32"/>
        </w:rPr>
        <w:t xml:space="preserve"> 支出</w:t>
      </w:r>
      <w:r>
        <w:rPr>
          <w:rStyle w:val="17"/>
          <w:rFonts w:hint="eastAsia" w:ascii="仿宋" w:hAnsi="仿宋" w:eastAsia="仿宋"/>
          <w:b w:val="0"/>
          <w:bCs/>
          <w:color w:val="auto"/>
          <w:sz w:val="32"/>
          <w:szCs w:val="32"/>
        </w:rPr>
        <w:t>决算为</w:t>
      </w:r>
      <w:r>
        <w:rPr>
          <w:rStyle w:val="17"/>
          <w:rFonts w:hint="eastAsia" w:ascii="仿宋" w:hAnsi="仿宋" w:eastAsia="仿宋"/>
          <w:b w:val="0"/>
          <w:bCs/>
          <w:color w:val="auto"/>
          <w:sz w:val="32"/>
          <w:szCs w:val="32"/>
          <w:lang w:val="en-US" w:eastAsia="zh-CN"/>
        </w:rPr>
        <w:t>15.12</w:t>
      </w:r>
      <w:r>
        <w:rPr>
          <w:rStyle w:val="17"/>
          <w:rFonts w:hint="eastAsia" w:ascii="仿宋" w:hAnsi="仿宋" w:eastAsia="仿宋"/>
          <w:b w:val="0"/>
          <w:bCs/>
          <w:color w:val="auto"/>
          <w:sz w:val="32"/>
          <w:szCs w:val="32"/>
        </w:rPr>
        <w:t>万元，完成预算100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，决算数等于预算数。</w:t>
      </w:r>
    </w:p>
    <w:p>
      <w:pPr>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rStyle w:val="17"/>
          <w:rFonts w:ascii="仿宋" w:hAnsi="仿宋" w:eastAsia="仿宋"/>
          <w:b w:val="0"/>
          <w:bCs/>
          <w:color w:val="auto"/>
          <w:sz w:val="32"/>
          <w:szCs w:val="32"/>
        </w:rPr>
      </w:pPr>
      <w:r>
        <w:rPr>
          <w:rStyle w:val="17"/>
          <w:rFonts w:hint="eastAsia" w:ascii="仿宋" w:hAnsi="仿宋" w:eastAsia="仿宋"/>
          <w:bCs/>
          <w:color w:val="auto"/>
          <w:sz w:val="32"/>
          <w:szCs w:val="32"/>
        </w:rPr>
        <w:t>社会保障和就业支出（类）就业补助（款）其他就业补助支出（项）</w:t>
      </w:r>
      <w:r>
        <w:rPr>
          <w:rStyle w:val="17"/>
          <w:rFonts w:hint="eastAsia" w:ascii="仿宋" w:hAnsi="仿宋" w:eastAsia="仿宋"/>
          <w:bCs/>
          <w:color w:val="auto"/>
          <w:sz w:val="32"/>
          <w:szCs w:val="32"/>
          <w:lang w:eastAsia="zh-CN"/>
        </w:rPr>
        <w:t>：</w:t>
      </w:r>
      <w:r>
        <w:rPr>
          <w:rStyle w:val="17"/>
          <w:rFonts w:ascii="仿宋" w:hAnsi="仿宋" w:eastAsia="仿宋"/>
          <w:b w:val="0"/>
          <w:bCs/>
          <w:color w:val="auto"/>
          <w:sz w:val="32"/>
          <w:szCs w:val="32"/>
        </w:rPr>
        <w:t xml:space="preserve"> 支出</w:t>
      </w:r>
      <w:r>
        <w:rPr>
          <w:rStyle w:val="17"/>
          <w:rFonts w:hint="eastAsia" w:ascii="仿宋" w:hAnsi="仿宋" w:eastAsia="仿宋"/>
          <w:b w:val="0"/>
          <w:bCs/>
          <w:color w:val="auto"/>
          <w:sz w:val="32"/>
          <w:szCs w:val="32"/>
        </w:rPr>
        <w:t>决算为</w:t>
      </w:r>
      <w:r>
        <w:rPr>
          <w:rStyle w:val="17"/>
          <w:rFonts w:hint="eastAsia" w:ascii="仿宋" w:hAnsi="仿宋" w:eastAsia="仿宋"/>
          <w:b w:val="0"/>
          <w:bCs/>
          <w:color w:val="auto"/>
          <w:sz w:val="32"/>
          <w:szCs w:val="32"/>
          <w:lang w:val="en-US" w:eastAsia="zh-CN"/>
        </w:rPr>
        <w:t>48.02</w:t>
      </w:r>
      <w:r>
        <w:rPr>
          <w:rStyle w:val="17"/>
          <w:rFonts w:hint="eastAsia" w:ascii="仿宋" w:hAnsi="仿宋" w:eastAsia="仿宋"/>
          <w:b w:val="0"/>
          <w:bCs/>
          <w:color w:val="auto"/>
          <w:sz w:val="32"/>
          <w:szCs w:val="32"/>
        </w:rPr>
        <w:t>万元，完成预算</w:t>
      </w:r>
      <w:r>
        <w:rPr>
          <w:rStyle w:val="17"/>
          <w:rFonts w:hint="eastAsia" w:ascii="仿宋" w:hAnsi="仿宋" w:eastAsia="仿宋"/>
          <w:b w:val="0"/>
          <w:bCs/>
          <w:color w:val="auto"/>
          <w:sz w:val="32"/>
          <w:szCs w:val="32"/>
          <w:lang w:val="en-US" w:eastAsia="zh-CN"/>
        </w:rPr>
        <w:t>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w:t>
      </w:r>
      <w:r>
        <w:rPr>
          <w:rStyle w:val="17"/>
          <w:rFonts w:hint="eastAsia" w:ascii="仿宋" w:hAnsi="仿宋" w:eastAsia="仿宋"/>
          <w:b w:val="0"/>
          <w:bCs/>
          <w:color w:val="auto"/>
          <w:sz w:val="32"/>
          <w:szCs w:val="32"/>
          <w:lang w:val="en-US" w:eastAsia="zh-CN"/>
        </w:rPr>
        <w:t>等于</w:t>
      </w:r>
      <w:r>
        <w:rPr>
          <w:rStyle w:val="17"/>
          <w:rFonts w:hint="eastAsia" w:ascii="仿宋" w:hAnsi="仿宋" w:eastAsia="仿宋"/>
          <w:b w:val="0"/>
          <w:bCs/>
          <w:color w:val="auto"/>
          <w:sz w:val="32"/>
          <w:szCs w:val="32"/>
        </w:rPr>
        <w:t>预算数。</w:t>
      </w:r>
    </w:p>
    <w:p>
      <w:pPr>
        <w:pStyle w:val="12"/>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color w:val="auto"/>
        </w:rPr>
      </w:pPr>
      <w:r>
        <w:rPr>
          <w:rFonts w:hint="eastAsia" w:ascii="仿宋" w:hAnsi="仿宋" w:eastAsia="仿宋"/>
          <w:b/>
          <w:bCs/>
          <w:color w:val="auto"/>
          <w:sz w:val="32"/>
          <w:szCs w:val="32"/>
        </w:rPr>
        <w:t>卫生健康</w:t>
      </w:r>
      <w:r>
        <w:rPr>
          <w:rFonts w:hint="eastAsia" w:ascii="仿宋" w:hAnsi="仿宋" w:eastAsia="仿宋"/>
          <w:b/>
          <w:bCs/>
          <w:color w:val="auto"/>
          <w:sz w:val="32"/>
          <w:szCs w:val="32"/>
          <w:lang w:val="en-US" w:eastAsia="zh-CN"/>
        </w:rPr>
        <w:t>支出</w:t>
      </w:r>
      <w:r>
        <w:rPr>
          <w:rStyle w:val="17"/>
          <w:rFonts w:hint="eastAsia" w:ascii="仿宋" w:hAnsi="仿宋" w:eastAsia="仿宋"/>
          <w:bCs/>
          <w:color w:val="auto"/>
          <w:sz w:val="32"/>
          <w:szCs w:val="32"/>
        </w:rPr>
        <w:t>（类）行政事业单位</w:t>
      </w:r>
      <w:r>
        <w:rPr>
          <w:rStyle w:val="17"/>
          <w:rFonts w:ascii="仿宋" w:hAnsi="仿宋" w:eastAsia="仿宋"/>
          <w:bCs/>
          <w:color w:val="auto"/>
          <w:sz w:val="32"/>
          <w:szCs w:val="32"/>
        </w:rPr>
        <w:t>医疗</w:t>
      </w:r>
      <w:r>
        <w:rPr>
          <w:rStyle w:val="17"/>
          <w:rFonts w:hint="eastAsia" w:ascii="仿宋" w:hAnsi="仿宋" w:eastAsia="仿宋"/>
          <w:bCs/>
          <w:color w:val="auto"/>
          <w:sz w:val="32"/>
          <w:szCs w:val="32"/>
        </w:rPr>
        <w:t>（款）行政单位</w:t>
      </w:r>
      <w:r>
        <w:rPr>
          <w:rStyle w:val="17"/>
          <w:rFonts w:ascii="仿宋" w:hAnsi="仿宋" w:eastAsia="仿宋"/>
          <w:bCs/>
          <w:color w:val="auto"/>
          <w:sz w:val="32"/>
          <w:szCs w:val="32"/>
        </w:rPr>
        <w:t>医疗</w:t>
      </w:r>
      <w:r>
        <w:rPr>
          <w:rStyle w:val="17"/>
          <w:rFonts w:hint="eastAsia" w:ascii="仿宋" w:hAnsi="仿宋" w:eastAsia="仿宋"/>
          <w:bCs/>
          <w:color w:val="auto"/>
          <w:sz w:val="32"/>
          <w:szCs w:val="32"/>
        </w:rPr>
        <w:t>（项）</w:t>
      </w:r>
      <w:r>
        <w:rPr>
          <w:rStyle w:val="17"/>
          <w:rFonts w:hint="eastAsia" w:ascii="仿宋" w:hAnsi="仿宋" w:eastAsia="仿宋"/>
          <w:bCs/>
          <w:color w:val="auto"/>
          <w:sz w:val="32"/>
          <w:szCs w:val="32"/>
          <w:lang w:eastAsia="zh-CN"/>
        </w:rPr>
        <w:t>：</w:t>
      </w:r>
      <w:r>
        <w:rPr>
          <w:rStyle w:val="17"/>
          <w:rFonts w:hint="eastAsia" w:ascii="仿宋" w:hAnsi="仿宋" w:eastAsia="仿宋"/>
          <w:b w:val="0"/>
          <w:bCs/>
          <w:color w:val="auto"/>
          <w:sz w:val="32"/>
          <w:szCs w:val="32"/>
        </w:rPr>
        <w:t>支出决算为</w:t>
      </w:r>
      <w:r>
        <w:rPr>
          <w:rStyle w:val="17"/>
          <w:rFonts w:hint="eastAsia" w:ascii="仿宋" w:hAnsi="仿宋" w:eastAsia="仿宋"/>
          <w:b w:val="0"/>
          <w:bCs/>
          <w:color w:val="auto"/>
          <w:sz w:val="32"/>
          <w:szCs w:val="32"/>
          <w:lang w:val="en-US" w:eastAsia="zh-CN"/>
        </w:rPr>
        <w:t>53.11</w:t>
      </w:r>
      <w:r>
        <w:rPr>
          <w:rStyle w:val="17"/>
          <w:rFonts w:hint="eastAsia" w:ascii="仿宋" w:hAnsi="仿宋" w:eastAsia="仿宋"/>
          <w:b w:val="0"/>
          <w:bCs/>
          <w:color w:val="auto"/>
          <w:sz w:val="32"/>
          <w:szCs w:val="32"/>
        </w:rPr>
        <w:t>万元，完成预算100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，决算数等于预算数。</w:t>
      </w:r>
    </w:p>
    <w:p>
      <w:pPr>
        <w:pStyle w:val="12"/>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400" w:firstLineChars="0"/>
        <w:textAlignment w:val="auto"/>
        <w:rPr>
          <w:color w:val="auto"/>
        </w:rPr>
      </w:pPr>
      <w:r>
        <w:rPr>
          <w:rFonts w:hint="eastAsia" w:ascii="仿宋" w:hAnsi="仿宋" w:eastAsia="仿宋"/>
          <w:b/>
          <w:bCs/>
          <w:color w:val="auto"/>
          <w:sz w:val="32"/>
          <w:szCs w:val="32"/>
        </w:rPr>
        <w:t>住房保障支出</w:t>
      </w:r>
      <w:r>
        <w:rPr>
          <w:rStyle w:val="17"/>
          <w:rFonts w:hint="eastAsia" w:ascii="仿宋" w:hAnsi="仿宋" w:eastAsia="仿宋"/>
          <w:bCs/>
          <w:color w:val="auto"/>
          <w:sz w:val="32"/>
          <w:szCs w:val="32"/>
        </w:rPr>
        <w:t>（类）住房改革支出（款）住房公积金（项）</w:t>
      </w:r>
      <w:r>
        <w:rPr>
          <w:rStyle w:val="17"/>
          <w:rFonts w:hint="eastAsia" w:ascii="仿宋" w:hAnsi="仿宋" w:eastAsia="仿宋"/>
          <w:bCs/>
          <w:color w:val="auto"/>
          <w:sz w:val="32"/>
          <w:szCs w:val="32"/>
          <w:lang w:eastAsia="zh-CN"/>
        </w:rPr>
        <w:t>：</w:t>
      </w:r>
      <w:r>
        <w:rPr>
          <w:rStyle w:val="17"/>
          <w:rFonts w:hint="eastAsia" w:ascii="仿宋" w:hAnsi="仿宋" w:eastAsia="仿宋"/>
          <w:b w:val="0"/>
          <w:bCs/>
          <w:color w:val="auto"/>
          <w:sz w:val="32"/>
          <w:szCs w:val="32"/>
        </w:rPr>
        <w:t>支出决算为</w:t>
      </w:r>
      <w:r>
        <w:rPr>
          <w:rStyle w:val="17"/>
          <w:rFonts w:hint="eastAsia" w:ascii="仿宋" w:hAnsi="仿宋" w:eastAsia="仿宋"/>
          <w:b w:val="0"/>
          <w:bCs/>
          <w:color w:val="auto"/>
          <w:sz w:val="32"/>
          <w:szCs w:val="32"/>
          <w:lang w:val="en-US" w:eastAsia="zh-CN"/>
        </w:rPr>
        <w:t>126.06</w:t>
      </w:r>
      <w:r>
        <w:rPr>
          <w:rStyle w:val="17"/>
          <w:rFonts w:hint="eastAsia" w:ascii="仿宋" w:hAnsi="仿宋" w:eastAsia="仿宋"/>
          <w:b w:val="0"/>
          <w:bCs/>
          <w:color w:val="auto"/>
          <w:sz w:val="32"/>
          <w:szCs w:val="32"/>
        </w:rPr>
        <w:t>万元，完成预算100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lang w:eastAsia="zh-CN"/>
        </w:rPr>
        <w:t>，</w:t>
      </w:r>
      <w:r>
        <w:rPr>
          <w:rStyle w:val="17"/>
          <w:rFonts w:hint="eastAsia" w:ascii="仿宋" w:hAnsi="仿宋" w:eastAsia="仿宋"/>
          <w:b w:val="0"/>
          <w:bCs/>
          <w:color w:val="auto"/>
          <w:sz w:val="32"/>
          <w:szCs w:val="32"/>
        </w:rPr>
        <w:t>决算数</w:t>
      </w:r>
      <w:r>
        <w:rPr>
          <w:rStyle w:val="17"/>
          <w:rFonts w:hint="eastAsia" w:ascii="仿宋" w:hAnsi="仿宋" w:eastAsia="仿宋"/>
          <w:b w:val="0"/>
          <w:bCs/>
          <w:color w:val="auto"/>
          <w:sz w:val="32"/>
          <w:szCs w:val="32"/>
          <w:lang w:val="en-US" w:eastAsia="zh-CN"/>
        </w:rPr>
        <w:t>等于</w:t>
      </w:r>
      <w:r>
        <w:rPr>
          <w:rStyle w:val="17"/>
          <w:rFonts w:hint="eastAsia" w:ascii="仿宋" w:hAnsi="仿宋" w:eastAsia="仿宋"/>
          <w:b w:val="0"/>
          <w:bCs/>
          <w:color w:val="auto"/>
          <w:sz w:val="32"/>
          <w:szCs w:val="32"/>
        </w:rPr>
        <w:t>预算数。</w:t>
      </w:r>
    </w:p>
    <w:p>
      <w:pPr>
        <w:keepNext w:val="0"/>
        <w:keepLines w:val="0"/>
        <w:pageBreakBefore w:val="0"/>
        <w:widowControl w:val="0"/>
        <w:tabs>
          <w:tab w:val="right" w:pos="8306"/>
        </w:tabs>
        <w:kinsoku/>
        <w:wordWrap/>
        <w:overflowPunct/>
        <w:topLinePunct w:val="0"/>
        <w:autoSpaceDE/>
        <w:autoSpaceDN/>
        <w:bidi w:val="0"/>
        <w:adjustRightInd/>
        <w:spacing w:line="600" w:lineRule="exact"/>
        <w:ind w:firstLine="640"/>
        <w:textAlignment w:val="auto"/>
        <w:outlineLvl w:val="1"/>
        <w:rPr>
          <w:rStyle w:val="20"/>
        </w:rPr>
      </w:pPr>
      <w:bookmarkStart w:id="79" w:name="_Toc22451"/>
      <w:bookmarkStart w:id="80" w:name="_Toc15396608"/>
      <w:bookmarkStart w:id="81" w:name="_Toc17292"/>
      <w:bookmarkStart w:id="82" w:name="_Toc26815"/>
      <w:bookmarkStart w:id="83"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0"/>
          <w:rFonts w:hint="eastAsia" w:ascii="黑体" w:hAnsi="黑体" w:eastAsia="黑体"/>
          <w:b w:val="0"/>
        </w:rPr>
        <w:t>般公共预算财政拨款基本支出决算情况说明</w:t>
      </w:r>
      <w:bookmarkEnd w:id="79"/>
      <w:bookmarkEnd w:id="80"/>
      <w:bookmarkEnd w:id="81"/>
      <w:bookmarkEnd w:id="82"/>
      <w:bookmarkEnd w:id="83"/>
      <w:r>
        <w:rPr>
          <w:rStyle w:val="20"/>
          <w:rFonts w:ascii="黑体" w:hAnsi="黑体" w:eastAsia="黑体"/>
          <w:b w:val="0"/>
        </w:rPr>
        <w:tab/>
      </w:r>
    </w:p>
    <w:p>
      <w:pPr>
        <w:keepNext w:val="0"/>
        <w:keepLines w:val="0"/>
        <w:pageBreakBefore w:val="0"/>
        <w:widowControl w:val="0"/>
        <w:kinsoku/>
        <w:wordWrap/>
        <w:overflowPunct/>
        <w:topLinePunct w:val="0"/>
        <w:autoSpaceDE/>
        <w:autoSpaceDN/>
        <w:bidi w:val="0"/>
        <w:adjustRightInd/>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2022年一般公共预算财政拨款基本支出</w:t>
      </w:r>
      <w:r>
        <w:rPr>
          <w:rFonts w:hint="eastAsia" w:ascii="仿宋_GB2312" w:hAnsi="仿宋_GB2312" w:eastAsia="仿宋_GB2312" w:cs="仿宋_GB2312"/>
          <w:sz w:val="32"/>
          <w:szCs w:val="32"/>
          <w:lang w:val="en-US" w:eastAsia="zh-CN"/>
        </w:rPr>
        <w:t>1921.23</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1651.73</w:t>
      </w:r>
      <w:r>
        <w:rPr>
          <w:rFonts w:hint="eastAsia" w:ascii="仿宋_GB2312" w:hAnsi="仿宋_GB2312" w:eastAsia="仿宋_GB2312" w:cs="仿宋_GB2312"/>
          <w:sz w:val="32"/>
          <w:szCs w:val="32"/>
        </w:rPr>
        <w:t>万元，主要包括：基本工资、津贴补贴、奖金、绩效工资、机关事业单位基本养老保险缴费、职业年金缴费、</w:t>
      </w:r>
      <w:r>
        <w:rPr>
          <w:rFonts w:hint="eastAsia" w:ascii="仿宋_GB2312" w:hAnsi="仿宋_GB2312" w:eastAsia="仿宋_GB2312" w:cs="仿宋_GB2312"/>
          <w:sz w:val="32"/>
          <w:szCs w:val="32"/>
          <w:lang w:val="en-US" w:eastAsia="zh-CN"/>
        </w:rPr>
        <w:t>职工基本医疗保险缴费、</w:t>
      </w:r>
      <w:r>
        <w:rPr>
          <w:rFonts w:hint="eastAsia" w:ascii="仿宋_GB2312" w:hAnsi="仿宋_GB2312" w:eastAsia="仿宋_GB2312" w:cs="仿宋_GB2312"/>
          <w:sz w:val="32"/>
          <w:szCs w:val="32"/>
        </w:rPr>
        <w:t>其他社会保障缴费、住房公积金、</w:t>
      </w:r>
      <w:r>
        <w:rPr>
          <w:rFonts w:hint="eastAsia" w:ascii="仿宋_GB2312" w:hAnsi="仿宋_GB2312" w:eastAsia="仿宋_GB2312" w:cs="仿宋_GB2312"/>
          <w:sz w:val="32"/>
          <w:szCs w:val="32"/>
          <w:lang w:val="en-US" w:eastAsia="zh-CN"/>
        </w:rPr>
        <w:t>医疗费、</w:t>
      </w:r>
      <w:r>
        <w:rPr>
          <w:rFonts w:hint="eastAsia" w:ascii="仿宋_GB2312" w:hAnsi="仿宋_GB2312" w:eastAsia="仿宋_GB2312" w:cs="仿宋_GB2312"/>
          <w:sz w:val="32"/>
          <w:szCs w:val="32"/>
        </w:rPr>
        <w:t>其他工资福利支出、抚恤金、生活补助、奖励金、其他对个人和家庭的补助支出。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269.51</w:t>
      </w:r>
      <w:r>
        <w:rPr>
          <w:rFonts w:hint="eastAsia" w:ascii="仿宋_GB2312" w:hAnsi="仿宋_GB2312" w:eastAsia="仿宋_GB2312" w:cs="仿宋_GB2312"/>
          <w:sz w:val="32"/>
          <w:szCs w:val="32"/>
        </w:rPr>
        <w:t>万元，主要包括：办公费、印刷费、水费、电费、邮电费、物业管理费、差旅费、维修（护）费、租赁费、会议费、公务接待费、劳务费、工会经费、福利费、公务用车运行维护费、其他交通费</w:t>
      </w:r>
      <w:r>
        <w:rPr>
          <w:rFonts w:hint="eastAsia" w:ascii="仿宋_GB2312" w:hAnsi="仿宋_GB2312" w:eastAsia="仿宋_GB2312" w:cs="仿宋_GB2312"/>
          <w:sz w:val="32"/>
          <w:szCs w:val="32"/>
          <w:lang w:val="en-US" w:eastAsia="zh-CN"/>
        </w:rPr>
        <w:t>用</w:t>
      </w:r>
      <w:r>
        <w:rPr>
          <w:rFonts w:hint="eastAsia" w:ascii="仿宋_GB2312" w:hAnsi="仿宋_GB2312" w:eastAsia="仿宋_GB2312" w:cs="仿宋_GB2312"/>
          <w:sz w:val="32"/>
          <w:szCs w:val="32"/>
        </w:rPr>
        <w:t>、其他商品和服务支出、办公设备购置。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1"/>
        <w:rPr>
          <w:rStyle w:val="20"/>
          <w:rFonts w:ascii="黑体" w:hAnsi="黑体" w:eastAsia="黑体"/>
          <w:b w:val="0"/>
        </w:rPr>
      </w:pPr>
      <w:bookmarkStart w:id="84" w:name="_Toc21237"/>
      <w:bookmarkStart w:id="85" w:name="_Toc22596"/>
      <w:bookmarkStart w:id="86" w:name="_Toc6905"/>
      <w:bookmarkStart w:id="87" w:name="_Toc15377215"/>
      <w:bookmarkStart w:id="88" w:name="_Toc15396609"/>
      <w:r>
        <w:rPr>
          <w:rFonts w:hint="eastAsia" w:ascii="黑体" w:eastAsia="黑体"/>
          <w:sz w:val="32"/>
          <w:szCs w:val="32"/>
        </w:rPr>
        <w:t>七、</w:t>
      </w:r>
      <w:r>
        <w:rPr>
          <w:rStyle w:val="20"/>
          <w:rFonts w:hint="eastAsia" w:ascii="黑体" w:hAnsi="黑体" w:eastAsia="黑体"/>
          <w:b w:val="0"/>
        </w:rPr>
        <w:t>财政拨款</w:t>
      </w:r>
      <w:r>
        <w:rPr>
          <w:rStyle w:val="20"/>
          <w:rFonts w:hint="eastAsia" w:ascii="黑体" w:hAnsi="黑体" w:eastAsia="黑体"/>
        </w:rPr>
        <w:t>“</w:t>
      </w:r>
      <w:r>
        <w:rPr>
          <w:rStyle w:val="20"/>
          <w:rFonts w:hint="eastAsia" w:ascii="黑体" w:hAnsi="黑体" w:eastAsia="黑体"/>
          <w:b w:val="0"/>
        </w:rPr>
        <w:t>三公”经费支出决算情况说明</w:t>
      </w:r>
      <w:bookmarkEnd w:id="84"/>
      <w:bookmarkEnd w:id="85"/>
      <w:bookmarkEnd w:id="86"/>
      <w:bookmarkEnd w:id="87"/>
      <w:bookmarkEnd w:id="88"/>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2"/>
        <w:rPr>
          <w:rFonts w:ascii="仿宋" w:hAnsi="仿宋" w:eastAsia="仿宋"/>
          <w:b/>
          <w:sz w:val="32"/>
          <w:szCs w:val="32"/>
        </w:rPr>
      </w:pPr>
      <w:bookmarkStart w:id="89" w:name="_Toc15377216"/>
      <w:r>
        <w:rPr>
          <w:rFonts w:hint="eastAsia" w:ascii="仿宋" w:hAnsi="仿宋" w:eastAsia="仿宋"/>
          <w:b/>
          <w:sz w:val="32"/>
          <w:szCs w:val="32"/>
        </w:rPr>
        <w:t>（一）“三公”经费财政拨款支出决算总体情况说明</w:t>
      </w:r>
      <w:bookmarkEnd w:id="89"/>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 w:hAnsi="仿宋" w:eastAsia="仿宋"/>
          <w:sz w:val="32"/>
          <w:szCs w:val="32"/>
        </w:rPr>
      </w:pPr>
      <w:r>
        <w:rPr>
          <w:rFonts w:hint="eastAsia" w:ascii="仿宋_GB2312" w:hAnsi="仿宋_GB2312" w:eastAsia="仿宋_GB2312" w:cs="仿宋_GB2312"/>
          <w:sz w:val="32"/>
          <w:szCs w:val="32"/>
        </w:rPr>
        <w:t>2022年“三公”经费财政拨款支出决算为</w:t>
      </w:r>
      <w:r>
        <w:rPr>
          <w:rFonts w:hint="eastAsia" w:ascii="仿宋_GB2312" w:hAnsi="仿宋_GB2312" w:eastAsia="仿宋_GB2312" w:cs="仿宋_GB2312"/>
          <w:sz w:val="32"/>
          <w:szCs w:val="32"/>
          <w:lang w:val="en-US" w:eastAsia="zh-CN"/>
        </w:rPr>
        <w:t>6.45</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%，较上年减少</w:t>
      </w:r>
      <w:r>
        <w:rPr>
          <w:rFonts w:hint="eastAsia" w:ascii="仿宋_GB2312" w:hAnsi="仿宋_GB2312" w:eastAsia="仿宋_GB2312" w:cs="仿宋_GB2312"/>
          <w:sz w:val="32"/>
          <w:szCs w:val="32"/>
          <w:lang w:val="en-US" w:eastAsia="zh-CN"/>
        </w:rPr>
        <w:t>3.29</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33.61</w:t>
      </w:r>
      <w:r>
        <w:rPr>
          <w:rFonts w:hint="eastAsia" w:ascii="仿宋_GB2312" w:hAnsi="仿宋_GB2312" w:eastAsia="仿宋_GB2312" w:cs="仿宋_GB2312"/>
          <w:sz w:val="32"/>
          <w:szCs w:val="32"/>
        </w:rPr>
        <w:t>%。决算数</w:t>
      </w:r>
      <w:r>
        <w:rPr>
          <w:rFonts w:hint="default" w:ascii="仿宋_GB2312" w:hAnsi="仿宋_GB2312" w:eastAsia="仿宋_GB2312" w:cs="仿宋_GB2312"/>
          <w:sz w:val="32"/>
          <w:szCs w:val="32"/>
        </w:rPr>
        <w:t>与</w:t>
      </w:r>
      <w:r>
        <w:rPr>
          <w:rFonts w:hint="eastAsia" w:ascii="仿宋_GB2312" w:hAnsi="仿宋_GB2312" w:eastAsia="仿宋_GB2312" w:cs="仿宋_GB2312"/>
          <w:sz w:val="32"/>
          <w:szCs w:val="32"/>
        </w:rPr>
        <w:t>预算数</w:t>
      </w:r>
      <w:r>
        <w:rPr>
          <w:rFonts w:hint="default" w:ascii="仿宋_GB2312" w:hAnsi="仿宋_GB2312" w:eastAsia="仿宋_GB2312" w:cs="仿宋_GB2312"/>
          <w:sz w:val="32"/>
          <w:szCs w:val="32"/>
        </w:rPr>
        <w:t>持平。</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2"/>
        <w:rPr>
          <w:rFonts w:ascii="仿宋" w:hAnsi="仿宋" w:eastAsia="仿宋"/>
          <w:b/>
          <w:sz w:val="32"/>
          <w:szCs w:val="32"/>
        </w:rPr>
      </w:pPr>
      <w:bookmarkStart w:id="90" w:name="_Toc15377217"/>
      <w:r>
        <w:rPr>
          <w:rFonts w:hint="eastAsia" w:ascii="仿宋" w:hAnsi="仿宋" w:eastAsia="仿宋"/>
          <w:b/>
          <w:sz w:val="32"/>
          <w:szCs w:val="32"/>
        </w:rPr>
        <w:t>（二）“三公”经费财政拨款支出决算具体情况说明</w:t>
      </w:r>
      <w:bookmarkEnd w:id="90"/>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万元，年初未安排公务出国（境）预算；公务用车购置及运行维护费支出决算</w:t>
      </w:r>
      <w:r>
        <w:rPr>
          <w:rFonts w:hint="eastAsia" w:ascii="仿宋_GB2312" w:hAnsi="仿宋_GB2312" w:eastAsia="仿宋_GB2312" w:cs="仿宋_GB2312"/>
          <w:sz w:val="32"/>
          <w:szCs w:val="32"/>
          <w:lang w:val="en-US" w:eastAsia="zh-CN"/>
        </w:rPr>
        <w:t>4.96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76.80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23.20</w:t>
      </w:r>
      <w:r>
        <w:rPr>
          <w:rFonts w:hint="eastAsia" w:ascii="仿宋_GB2312" w:hAnsi="仿宋_GB2312" w:eastAsia="仿宋_GB2312" w:cs="仿宋_GB2312"/>
          <w:sz w:val="32"/>
          <w:szCs w:val="32"/>
        </w:rPr>
        <w:t>%。具体情况如下：</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p>
    <w:p>
      <w:pPr>
        <w:pStyle w:val="2"/>
        <w:jc w:val="center"/>
        <w:rPr>
          <w:rFonts w:hint="eastAsia" w:ascii="仿宋" w:hAnsi="仿宋" w:eastAsia="仿宋"/>
          <w:sz w:val="32"/>
          <w:szCs w:val="32"/>
        </w:rPr>
      </w:pPr>
      <w:r>
        <w:rPr>
          <w:sz w:val="30"/>
        </w:rPr>
        <w:pict>
          <v:line id="_x0000_s1049" o:spid="_x0000_s1049" o:spt="20" style="position:absolute;left:0pt;margin-left:135.65pt;margin-top:64.9pt;height:7.5pt;width:45pt;z-index:251679744;mso-width-relative:page;mso-height-relative:page;" filled="f" stroked="t" coordsize="21600,21600">
            <v:path arrowok="t"/>
            <v:fill on="f" focussize="0,0"/>
            <v:stroke color="#000000" endarrow="open"/>
            <v:imagedata o:title=""/>
            <o:lock v:ext="edit" aspectratio="f"/>
          </v:line>
        </w:pict>
      </w:r>
      <w:r>
        <w:rPr>
          <w:sz w:val="30"/>
        </w:rPr>
        <w:pict>
          <v:shape id="_x0000_s1048" o:spid="_x0000_s1048" o:spt="202" type="#_x0000_t202" style="position:absolute;left:0pt;margin-left:78.65pt;margin-top:44.65pt;height:45.75pt;width:64.45pt;z-index:251678720;mso-width-relative:page;mso-height-relative:page;" filled="f" stroked="f" coordsize="21600,21600">
            <v:path/>
            <v:fill on="f" focussize="0,0"/>
            <v:stroke on="f"/>
            <v:imagedata o:title=""/>
            <o:lock v:ext="edit" aspectratio="f"/>
            <v:textbox>
              <w:txbxContent>
                <w:p>
                  <w:r>
                    <w:rPr>
                      <w:rFonts w:hint="eastAsia"/>
                    </w:rPr>
                    <w:t>1.5万元，占23.20%</w:t>
                  </w:r>
                </w:p>
              </w:txbxContent>
            </v:textbox>
          </v:shape>
        </w:pict>
      </w:r>
      <w:r>
        <w:rPr>
          <w:sz w:val="30"/>
        </w:rPr>
        <w:pict>
          <v:line id="_x0000_s1047" o:spid="_x0000_s1047" o:spt="20" style="position:absolute;left:0pt;flip:x y;margin-left:237.65pt;margin-top:89.65pt;height:20.25pt;width:38.3pt;z-index:251677696;mso-width-relative:page;mso-height-relative:page;" filled="f" stroked="t" coordsize="21600,21600">
            <v:path arrowok="t"/>
            <v:fill on="f" focussize="0,0"/>
            <v:stroke color="#000000" endarrow="open"/>
            <v:imagedata o:title=""/>
            <o:lock v:ext="edit" aspectratio="f"/>
          </v:line>
        </w:pict>
      </w:r>
      <w:r>
        <w:rPr>
          <w:sz w:val="30"/>
        </w:rPr>
        <w:pict>
          <v:shape id="_x0000_s1046" o:spid="_x0000_s1046" o:spt="202" type="#_x0000_t202" style="position:absolute;left:0pt;margin-left:269.15pt;margin-top:92.65pt;height:36.75pt;width:72.05pt;z-index:251676672;mso-width-relative:page;mso-height-relative:page;" filled="f" stroked="f" coordsize="21600,21600">
            <v:path/>
            <v:fill on="f" focussize="0,0"/>
            <v:stroke on="f"/>
            <v:imagedata o:title=""/>
            <o:lock v:ext="edit" aspectratio="f"/>
            <v:textbox>
              <w:txbxContent>
                <w:p>
                  <w:r>
                    <w:rPr>
                      <w:rFonts w:hint="eastAsia"/>
                    </w:rPr>
                    <w:t>4.96万元，占76.80%</w:t>
                  </w:r>
                </w:p>
              </w:txbxContent>
            </v:textbox>
          </v:shape>
        </w:pict>
      </w:r>
      <w:r>
        <w:drawing>
          <wp:inline distT="0" distB="0" distL="114300" distR="114300">
            <wp:extent cx="3463290" cy="1655445"/>
            <wp:effectExtent l="4445" t="5080" r="8890" b="635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kinsoku/>
        <w:wordWrap/>
        <w:overflowPunct/>
        <w:topLinePunct w:val="0"/>
        <w:autoSpaceDE/>
        <w:autoSpaceDN/>
        <w:bidi w:val="0"/>
        <w:adjustRightInd/>
        <w:spacing w:line="576" w:lineRule="exact"/>
        <w:ind w:firstLine="640"/>
        <w:jc w:val="center"/>
        <w:textAlignment w:val="auto"/>
        <w:rPr>
          <w:rFonts w:ascii="仿宋" w:hAnsi="仿宋" w:eastAsia="仿宋"/>
          <w:sz w:val="32"/>
          <w:szCs w:val="32"/>
        </w:rPr>
      </w:pPr>
      <w:r>
        <w:rPr>
          <w:rFonts w:hint="eastAsia" w:ascii="仿宋" w:hAnsi="仿宋" w:eastAsia="仿宋"/>
          <w:sz w:val="32"/>
          <w:szCs w:val="32"/>
        </w:rPr>
        <w:t>（图7：“三公”经费财政拨款支出结构）</w:t>
      </w:r>
    </w:p>
    <w:p>
      <w:pPr>
        <w:keepNext w:val="0"/>
        <w:keepLines w:val="0"/>
        <w:pageBreakBefore w:val="0"/>
        <w:widowControl w:val="0"/>
        <w:kinsoku/>
        <w:wordWrap/>
        <w:overflowPunct/>
        <w:topLinePunct w:val="0"/>
        <w:autoSpaceDE/>
        <w:autoSpaceDN/>
        <w:bidi w:val="0"/>
        <w:adjustRightInd/>
        <w:spacing w:line="576" w:lineRule="exact"/>
        <w:ind w:firstLine="640"/>
        <w:textAlignment w:val="auto"/>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7"/>
          <w:rFonts w:hint="eastAsia" w:ascii="仿宋" w:hAnsi="仿宋" w:eastAsia="仿宋"/>
          <w:b w:val="0"/>
          <w:bCs/>
          <w:sz w:val="32"/>
          <w:szCs w:val="32"/>
        </w:rPr>
        <w:t>年初未</w:t>
      </w:r>
      <w:r>
        <w:rPr>
          <w:rFonts w:hint="eastAsia" w:ascii="仿宋_GB2312" w:eastAsia="仿宋_GB2312"/>
          <w:sz w:val="32"/>
          <w:szCs w:val="32"/>
        </w:rPr>
        <w:t>安排因公出国（境）预算，因公出国（境）支出决算较202</w:t>
      </w:r>
      <w:r>
        <w:rPr>
          <w:rFonts w:hint="eastAsia" w:ascii="仿宋_GB2312" w:eastAsia="仿宋_GB2312"/>
          <w:sz w:val="32"/>
          <w:szCs w:val="32"/>
          <w:lang w:val="en-US" w:eastAsia="zh-CN"/>
        </w:rPr>
        <w:t>1</w:t>
      </w:r>
      <w:r>
        <w:rPr>
          <w:rFonts w:hint="eastAsia" w:ascii="仿宋_GB2312" w:eastAsia="仿宋_GB2312"/>
          <w:sz w:val="32"/>
          <w:szCs w:val="32"/>
        </w:rPr>
        <w:t>年无变化。</w:t>
      </w:r>
    </w:p>
    <w:p>
      <w:pPr>
        <w:keepNext w:val="0"/>
        <w:keepLines w:val="0"/>
        <w:pageBreakBefore w:val="0"/>
        <w:widowControl w:val="0"/>
        <w:kinsoku/>
        <w:wordWrap/>
        <w:overflowPunct/>
        <w:topLinePunct w:val="0"/>
        <w:autoSpaceDE/>
        <w:autoSpaceDN/>
        <w:bidi w:val="0"/>
        <w:adjustRightInd/>
        <w:spacing w:line="576" w:lineRule="exact"/>
        <w:ind w:firstLine="640"/>
        <w:textAlignment w:val="auto"/>
        <w:rPr>
          <w:rFonts w:ascii="仿宋_GB2312" w:eastAsia="仿宋_GB2312"/>
          <w:b/>
          <w:sz w:val="32"/>
          <w:szCs w:val="32"/>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4.96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0.83</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14.33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2022年受疫情影响，与上年比较公务出差次数减少，公务车使用频率降低</w:t>
      </w:r>
      <w:r>
        <w:rPr>
          <w:rFonts w:hint="eastAsia" w:ascii="仿宋_GB2312" w:eastAsia="仿宋_GB2312"/>
          <w:color w:val="auto"/>
          <w:sz w:val="32"/>
          <w:szCs w:val="32"/>
          <w:highlight w:val="none"/>
        </w:rPr>
        <w:t>。</w:t>
      </w:r>
    </w:p>
    <w:p>
      <w:pPr>
        <w:keepNext w:val="0"/>
        <w:keepLines w:val="0"/>
        <w:widowControl/>
        <w:suppressLineNumbers w:val="0"/>
        <w:spacing w:before="0" w:beforeAutospacing="0" w:after="0" w:afterAutospacing="0" w:line="576" w:lineRule="atLeast"/>
        <w:ind w:left="0" w:right="0" w:firstLine="643"/>
        <w:jc w:val="both"/>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sz w:val="32"/>
          <w:szCs w:val="32"/>
        </w:rPr>
        <w:t>全年未更新购置公务用车。</w:t>
      </w:r>
      <w:r>
        <w:rPr>
          <w:rFonts w:hint="eastAsia" w:ascii="仿宋_GB2312" w:eastAsia="仿宋_GB2312"/>
          <w:color w:val="auto"/>
          <w:sz w:val="32"/>
          <w:szCs w:val="32"/>
          <w:highlight w:val="none"/>
          <w:lang w:val="en-US" w:eastAsia="zh-CN"/>
        </w:rPr>
        <w:t>截至</w:t>
      </w:r>
      <w:r>
        <w:rPr>
          <w:rFonts w:hint="default" w:ascii="仿宋_GB2312" w:eastAsia="仿宋_GB2312"/>
          <w:color w:val="auto"/>
          <w:sz w:val="32"/>
          <w:szCs w:val="32"/>
          <w:highlight w:val="none"/>
          <w:lang w:val="en-US" w:eastAsia="zh-CN"/>
        </w:rPr>
        <w:t>2022年12月底，单位共有公务用车</w:t>
      </w:r>
      <w:r>
        <w:rPr>
          <w:rFonts w:hint="eastAsia" w:ascii="仿宋_GB2312" w:eastAsia="仿宋_GB2312"/>
          <w:color w:val="auto"/>
          <w:sz w:val="32"/>
          <w:szCs w:val="32"/>
          <w:highlight w:val="none"/>
          <w:lang w:val="en-US" w:eastAsia="zh-CN"/>
        </w:rPr>
        <w:t>1</w:t>
      </w:r>
      <w:r>
        <w:rPr>
          <w:rFonts w:hint="default" w:ascii="仿宋_GB2312" w:eastAsia="仿宋_GB2312"/>
          <w:color w:val="auto"/>
          <w:sz w:val="32"/>
          <w:szCs w:val="32"/>
          <w:highlight w:val="none"/>
          <w:lang w:val="en-US" w:eastAsia="zh-CN"/>
        </w:rPr>
        <w:t> 辆，其中：轿车</w:t>
      </w:r>
      <w:r>
        <w:rPr>
          <w:rFonts w:hint="eastAsia" w:ascii="仿宋_GB2312" w:eastAsia="仿宋_GB2312"/>
          <w:color w:val="auto"/>
          <w:sz w:val="32"/>
          <w:szCs w:val="32"/>
          <w:highlight w:val="none"/>
          <w:lang w:val="en-US" w:eastAsia="zh-CN"/>
        </w:rPr>
        <w:t>0</w:t>
      </w:r>
      <w:r>
        <w:rPr>
          <w:rFonts w:hint="default" w:ascii="仿宋_GB2312" w:eastAsia="仿宋_GB2312"/>
          <w:color w:val="auto"/>
          <w:sz w:val="32"/>
          <w:szCs w:val="32"/>
          <w:highlight w:val="none"/>
          <w:lang w:val="en-US" w:eastAsia="zh-CN"/>
        </w:rPr>
        <w:t>辆，越野车</w:t>
      </w:r>
      <w:r>
        <w:rPr>
          <w:rFonts w:hint="eastAsia" w:ascii="仿宋_GB2312" w:eastAsia="仿宋_GB2312"/>
          <w:color w:val="auto"/>
          <w:sz w:val="32"/>
          <w:szCs w:val="32"/>
          <w:highlight w:val="none"/>
          <w:lang w:val="en-US" w:eastAsia="zh-CN"/>
        </w:rPr>
        <w:t>1</w:t>
      </w:r>
      <w:r>
        <w:rPr>
          <w:rFonts w:hint="default" w:ascii="仿宋_GB2312" w:eastAsia="仿宋_GB2312"/>
          <w:color w:val="auto"/>
          <w:sz w:val="32"/>
          <w:szCs w:val="32"/>
          <w:highlight w:val="none"/>
          <w:lang w:val="en-US" w:eastAsia="zh-CN"/>
        </w:rPr>
        <w:t>辆，载客汽车</w:t>
      </w:r>
      <w:r>
        <w:rPr>
          <w:rFonts w:hint="eastAsia" w:ascii="仿宋_GB2312" w:eastAsia="仿宋_GB2312"/>
          <w:color w:val="auto"/>
          <w:sz w:val="32"/>
          <w:szCs w:val="32"/>
          <w:highlight w:val="none"/>
          <w:lang w:val="en-US" w:eastAsia="zh-CN"/>
        </w:rPr>
        <w:t>0</w:t>
      </w:r>
      <w:r>
        <w:rPr>
          <w:rFonts w:hint="default" w:ascii="仿宋_GB2312" w:eastAsia="仿宋_GB2312"/>
          <w:color w:val="auto"/>
          <w:sz w:val="32"/>
          <w:szCs w:val="32"/>
          <w:highlight w:val="none"/>
          <w:lang w:val="en-US" w:eastAsia="zh-CN"/>
        </w:rPr>
        <w:t>辆。</w:t>
      </w:r>
    </w:p>
    <w:p>
      <w:pPr>
        <w:keepNext w:val="0"/>
        <w:keepLines w:val="0"/>
        <w:pageBreakBefore w:val="0"/>
        <w:widowControl w:val="0"/>
        <w:kinsoku/>
        <w:wordWrap/>
        <w:overflowPunct/>
        <w:topLinePunct w:val="0"/>
        <w:autoSpaceDE/>
        <w:autoSpaceDN/>
        <w:bidi w:val="0"/>
        <w:adjustRightInd/>
        <w:spacing w:line="576" w:lineRule="exact"/>
        <w:ind w:firstLine="640"/>
        <w:textAlignment w:val="auto"/>
        <w:rPr>
          <w:rFonts w:ascii="仿宋_GB2312" w:eastAsia="仿宋_GB2312"/>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4.96</w:t>
      </w:r>
      <w:r>
        <w:rPr>
          <w:rFonts w:hint="eastAsia" w:ascii="仿宋_GB2312" w:eastAsia="仿宋_GB2312"/>
          <w:color w:val="auto"/>
          <w:sz w:val="32"/>
          <w:szCs w:val="32"/>
          <w:highlight w:val="none"/>
        </w:rPr>
        <w:t>万元。</w:t>
      </w:r>
      <w:r>
        <w:rPr>
          <w:rFonts w:hint="eastAsia" w:ascii="仿宋" w:hAnsi="仿宋" w:eastAsia="仿宋"/>
          <w:color w:val="000000"/>
          <w:sz w:val="32"/>
          <w:szCs w:val="32"/>
        </w:rPr>
        <w:t>主要用于</w:t>
      </w:r>
      <w:r>
        <w:rPr>
          <w:rFonts w:hint="eastAsia" w:ascii="仿宋_GB2312" w:eastAsia="仿宋_GB2312"/>
          <w:sz w:val="32"/>
          <w:szCs w:val="32"/>
        </w:rPr>
        <w:t>促进就业创业、人才队伍建设、人事制度改革、高层次人才引进、劳动关系维权、工伤调查认定、公共服务体系建设</w:t>
      </w:r>
      <w:r>
        <w:rPr>
          <w:rFonts w:hint="eastAsia" w:ascii="仿宋" w:hAnsi="仿宋" w:eastAsia="仿宋"/>
          <w:color w:val="000000"/>
          <w:sz w:val="32"/>
          <w:szCs w:val="32"/>
        </w:rPr>
        <w:t>等所需的</w:t>
      </w:r>
    </w:p>
    <w:p>
      <w:pPr>
        <w:keepNext w:val="0"/>
        <w:keepLines w:val="0"/>
        <w:pageBreakBefore w:val="0"/>
        <w:widowControl w:val="0"/>
        <w:kinsoku/>
        <w:wordWrap/>
        <w:overflowPunct/>
        <w:topLinePunct w:val="0"/>
        <w:autoSpaceDE/>
        <w:autoSpaceDN/>
        <w:bidi w:val="0"/>
        <w:adjustRightInd/>
        <w:spacing w:line="576" w:lineRule="exact"/>
        <w:textAlignment w:val="auto"/>
      </w:pPr>
      <w:r>
        <w:rPr>
          <w:rFonts w:hint="eastAsia" w:ascii="仿宋_GB2312" w:eastAsia="仿宋_GB2312"/>
          <w:color w:val="auto"/>
          <w:sz w:val="32"/>
          <w:szCs w:val="32"/>
          <w:highlight w:val="none"/>
        </w:rPr>
        <w:t>公务用车燃料费、维修费、过路过桥费、保险费等支出。</w:t>
      </w:r>
    </w:p>
    <w:p>
      <w:pPr>
        <w:keepNext w:val="0"/>
        <w:keepLines w:val="0"/>
        <w:pageBreakBefore w:val="0"/>
        <w:widowControl w:val="0"/>
        <w:kinsoku/>
        <w:wordWrap/>
        <w:overflowPunct/>
        <w:topLinePunct w:val="0"/>
        <w:autoSpaceDE/>
        <w:autoSpaceDN/>
        <w:bidi w:val="0"/>
        <w:adjustRightInd/>
        <w:spacing w:line="576" w:lineRule="exact"/>
        <w:ind w:firstLine="640"/>
        <w:textAlignment w:val="auto"/>
        <w:rPr>
          <w:rFonts w:ascii="仿宋_GB2312" w:eastAsia="仿宋_GB2312"/>
          <w:color w:val="auto"/>
          <w:sz w:val="32"/>
          <w:szCs w:val="32"/>
          <w:highlight w:val="none"/>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1.50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2.5</w:t>
      </w:r>
      <w:r>
        <w:rPr>
          <w:rFonts w:hint="eastAsia" w:ascii="仿宋_GB2312" w:eastAsia="仿宋_GB2312"/>
          <w:sz w:val="32"/>
          <w:szCs w:val="32"/>
        </w:rPr>
        <w:t>万元，下降</w:t>
      </w:r>
      <w:r>
        <w:rPr>
          <w:rFonts w:hint="eastAsia" w:ascii="仿宋_GB2312" w:eastAsia="仿宋_GB2312"/>
          <w:sz w:val="32"/>
          <w:szCs w:val="32"/>
          <w:lang w:val="en-US" w:eastAsia="zh-CN"/>
        </w:rPr>
        <w:t>62.5</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主要原因是</w:t>
      </w:r>
      <w:r>
        <w:rPr>
          <w:rFonts w:hint="eastAsia" w:ascii="仿宋_GB2312" w:eastAsia="仿宋_GB2312"/>
          <w:color w:val="auto"/>
          <w:sz w:val="32"/>
          <w:szCs w:val="32"/>
          <w:highlight w:val="none"/>
          <w:lang w:val="en-US" w:eastAsia="zh-CN"/>
        </w:rPr>
        <w:t>2022年受疫情影响，公务接待批次和人数都大幅降低</w:t>
      </w:r>
      <w:r>
        <w:rPr>
          <w:rFonts w:hint="eastAsia" w:ascii="仿宋_GB2312" w:eastAsia="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pacing w:line="576" w:lineRule="exact"/>
        <w:ind w:firstLine="640"/>
        <w:textAlignment w:val="auto"/>
        <w:rPr>
          <w:rFonts w:ascii="仿宋_GB2312" w:eastAsia="仿宋_GB2312"/>
          <w:sz w:val="32"/>
          <w:szCs w:val="32"/>
        </w:rPr>
      </w:pPr>
      <w:r>
        <w:rPr>
          <w:rFonts w:hint="eastAsia" w:ascii="仿宋" w:hAnsi="仿宋" w:eastAsia="仿宋"/>
          <w:b/>
          <w:color w:val="auto"/>
          <w:sz w:val="32"/>
          <w:szCs w:val="32"/>
          <w:highlight w:val="none"/>
        </w:rPr>
        <w:t>国内公务接待支出</w:t>
      </w:r>
      <w:r>
        <w:rPr>
          <w:rFonts w:hint="eastAsia" w:ascii="仿宋_GB2312" w:hAnsi="Times New Roman" w:eastAsia="仿宋_GB2312" w:cs="Times New Roman"/>
          <w:sz w:val="32"/>
          <w:szCs w:val="32"/>
          <w:lang w:val="en-US" w:eastAsia="zh-CN"/>
        </w:rPr>
        <w:t>1.50万元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主要用于</w:t>
      </w:r>
      <w:r>
        <w:rPr>
          <w:rFonts w:hint="eastAsia" w:ascii="仿宋_GB2312" w:eastAsia="仿宋_GB2312"/>
          <w:sz w:val="32"/>
          <w:szCs w:val="32"/>
        </w:rPr>
        <w:t>开展就业创业、完善社会保障体系、人才队伍建设、人事制度改革、构建和谐劳动关系、公共服务体系建设等重点工作以及有关单位来广调研、指导、督查督办、学习交流所发生的接待支出</w:t>
      </w:r>
      <w:r>
        <w:rPr>
          <w:rFonts w:hint="eastAsia" w:ascii="仿宋_GB2312" w:eastAsia="仿宋_GB2312"/>
          <w:sz w:val="32"/>
          <w:szCs w:val="32"/>
          <w:lang w:eastAsia="zh-CN"/>
        </w:rPr>
        <w:t>（</w:t>
      </w:r>
      <w:r>
        <w:rPr>
          <w:rFonts w:hint="eastAsia" w:ascii="仿宋_GB2312" w:eastAsia="仿宋_GB2312"/>
          <w:color w:val="auto"/>
          <w:sz w:val="32"/>
          <w:szCs w:val="32"/>
          <w:highlight w:val="none"/>
        </w:rPr>
        <w:t>执行公务、开展业务活动开支的交通费、住宿费、用餐费等</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14</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115</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1.50</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val="en-US" w:eastAsia="zh-CN"/>
        </w:rPr>
        <w:t>调研接待6次5670元，学习交流接待2次2550元，</w:t>
      </w:r>
      <w:r>
        <w:rPr>
          <w:rFonts w:hint="eastAsia" w:ascii="仿宋_GB2312" w:eastAsia="仿宋_GB2312"/>
          <w:sz w:val="32"/>
          <w:szCs w:val="32"/>
        </w:rPr>
        <w:t>督查督办</w:t>
      </w:r>
      <w:r>
        <w:rPr>
          <w:rFonts w:hint="eastAsia" w:ascii="仿宋_GB2312" w:eastAsia="仿宋_GB2312"/>
          <w:sz w:val="32"/>
          <w:szCs w:val="32"/>
          <w:lang w:val="en-US" w:eastAsia="zh-CN"/>
        </w:rPr>
        <w:t>7次6780元。</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次（不包括陪同人员）</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Style w:val="20"/>
          <w:rFonts w:ascii="黑体" w:hAnsi="黑体" w:eastAsia="黑体"/>
        </w:rPr>
      </w:pPr>
      <w:bookmarkStart w:id="91" w:name="_Toc9938"/>
      <w:bookmarkStart w:id="92" w:name="_Toc15377218"/>
      <w:bookmarkStart w:id="93" w:name="_Toc15396610"/>
      <w:bookmarkStart w:id="94" w:name="_Toc11888"/>
      <w:bookmarkStart w:id="95" w:name="_Toc12678"/>
      <w:r>
        <w:rPr>
          <w:rFonts w:hint="eastAsia" w:ascii="黑体" w:eastAsia="黑体"/>
          <w:sz w:val="32"/>
          <w:szCs w:val="32"/>
        </w:rPr>
        <w:t>八、</w:t>
      </w:r>
      <w:r>
        <w:rPr>
          <w:rStyle w:val="20"/>
          <w:rFonts w:hint="eastAsia" w:ascii="黑体" w:hAnsi="黑体" w:eastAsia="黑体"/>
          <w:b w:val="0"/>
        </w:rPr>
        <w:t>政府性基金预算支出决算情况说明</w:t>
      </w:r>
      <w:bookmarkEnd w:id="91"/>
      <w:bookmarkEnd w:id="92"/>
      <w:bookmarkEnd w:id="93"/>
      <w:bookmarkEnd w:id="94"/>
      <w:bookmarkEnd w:id="9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20"/>
          <w:rFonts w:ascii="黑体" w:hAnsi="黑体" w:eastAsia="黑体"/>
          <w:b w:val="0"/>
        </w:rPr>
      </w:pPr>
      <w:bookmarkStart w:id="96" w:name="_Toc15396611"/>
      <w:bookmarkStart w:id="97" w:name="_Toc15595"/>
      <w:bookmarkStart w:id="98" w:name="_Toc15377219"/>
      <w:bookmarkStart w:id="99" w:name="_Toc30013"/>
      <w:bookmarkStart w:id="100" w:name="_Toc12434"/>
      <w:r>
        <w:rPr>
          <w:rStyle w:val="20"/>
          <w:rFonts w:hint="eastAsia" w:ascii="黑体" w:hAnsi="黑体" w:eastAsia="黑体"/>
          <w:b w:val="0"/>
        </w:rPr>
        <w:t>国有资本经营预算支出决算情况说明</w:t>
      </w:r>
      <w:bookmarkEnd w:id="96"/>
      <w:bookmarkEnd w:id="97"/>
      <w:bookmarkEnd w:id="98"/>
      <w:bookmarkEnd w:id="99"/>
      <w:bookmarkEnd w:id="100"/>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20"/>
          <w:rFonts w:ascii="黑体" w:hAnsi="黑体" w:eastAsia="黑体"/>
          <w:b w:val="0"/>
        </w:rPr>
      </w:pPr>
      <w:bookmarkStart w:id="101" w:name="_Toc15377221"/>
      <w:bookmarkStart w:id="102" w:name="_Toc15396612"/>
      <w:bookmarkStart w:id="103" w:name="_Toc24520"/>
      <w:bookmarkStart w:id="104" w:name="_Toc10757"/>
      <w:bookmarkStart w:id="105" w:name="_Toc4626"/>
      <w:r>
        <w:rPr>
          <w:rStyle w:val="20"/>
          <w:rFonts w:hint="eastAsia" w:ascii="黑体" w:hAnsi="黑体" w:eastAsia="黑体"/>
          <w:b w:val="0"/>
        </w:rPr>
        <w:t>其他重要事项的情况说明</w:t>
      </w:r>
      <w:bookmarkEnd w:id="101"/>
      <w:bookmarkEnd w:id="102"/>
      <w:bookmarkEnd w:id="103"/>
      <w:bookmarkEnd w:id="104"/>
      <w:bookmarkEnd w:id="105"/>
    </w:p>
    <w:p>
      <w:pPr>
        <w:spacing w:line="600" w:lineRule="exact"/>
        <w:ind w:firstLine="643" w:firstLineChars="200"/>
        <w:outlineLvl w:val="2"/>
        <w:rPr>
          <w:rFonts w:ascii="仿宋" w:hAnsi="仿宋" w:eastAsia="仿宋"/>
          <w:sz w:val="32"/>
          <w:szCs w:val="32"/>
        </w:rPr>
      </w:pPr>
      <w:bookmarkStart w:id="106" w:name="_Toc15377222"/>
      <w:r>
        <w:rPr>
          <w:rFonts w:hint="eastAsia" w:ascii="仿宋" w:hAnsi="仿宋" w:eastAsia="仿宋"/>
          <w:b/>
          <w:sz w:val="32"/>
          <w:szCs w:val="32"/>
        </w:rPr>
        <w:t>（一）机关运行经费支出情况</w:t>
      </w:r>
      <w:bookmarkEnd w:id="106"/>
    </w:p>
    <w:p>
      <w:pPr>
        <w:spacing w:line="600" w:lineRule="exact"/>
        <w:ind w:firstLine="640" w:firstLineChars="200"/>
        <w:rPr>
          <w:rFonts w:hint="default"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广元市人力资源和社会保障局本级</w:t>
      </w:r>
      <w:r>
        <w:rPr>
          <w:rFonts w:hint="eastAsia" w:ascii="仿宋_GB2312" w:eastAsia="仿宋_GB2312"/>
          <w:sz w:val="32"/>
          <w:szCs w:val="32"/>
        </w:rPr>
        <w:t>机关运行经费支出</w:t>
      </w:r>
      <w:r>
        <w:rPr>
          <w:rFonts w:hint="eastAsia" w:ascii="仿宋_GB2312" w:eastAsia="仿宋_GB2312"/>
          <w:sz w:val="32"/>
          <w:szCs w:val="32"/>
          <w:lang w:val="en-US" w:eastAsia="zh-CN"/>
        </w:rPr>
        <w:t>269.51</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11.97</w:t>
      </w:r>
      <w:r>
        <w:rPr>
          <w:rFonts w:hint="eastAsia" w:ascii="仿宋_GB2312" w:eastAsia="仿宋_GB2312"/>
          <w:sz w:val="32"/>
          <w:szCs w:val="32"/>
        </w:rPr>
        <w:t>万元，增长</w:t>
      </w:r>
      <w:r>
        <w:rPr>
          <w:rFonts w:hint="eastAsia" w:ascii="仿宋_GB2312" w:eastAsia="仿宋_GB2312"/>
          <w:sz w:val="32"/>
          <w:szCs w:val="32"/>
          <w:lang w:val="en-US" w:eastAsia="zh-CN"/>
        </w:rPr>
        <w:t>4.60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2022年我单位牵头火车站卡口防疫值守3个月，防疫物资费用有所增加。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07" w:name="_Toc15377223"/>
      <w:r>
        <w:rPr>
          <w:rFonts w:hint="eastAsia" w:ascii="仿宋" w:hAnsi="仿宋" w:eastAsia="仿宋"/>
          <w:b/>
          <w:sz w:val="32"/>
          <w:szCs w:val="32"/>
        </w:rPr>
        <w:t>（二）政府采购支出情况</w:t>
      </w:r>
      <w:bookmarkEnd w:id="10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广元市人力资源和社会保障局本级</w:t>
      </w:r>
      <w:r>
        <w:rPr>
          <w:rFonts w:hint="eastAsia" w:ascii="仿宋_GB2312" w:eastAsia="仿宋_GB2312"/>
          <w:sz w:val="32"/>
          <w:szCs w:val="32"/>
        </w:rPr>
        <w:t>政府采购支出总额</w:t>
      </w:r>
      <w:r>
        <w:rPr>
          <w:rFonts w:hint="eastAsia" w:ascii="仿宋_GB2312" w:eastAsia="仿宋_GB2312"/>
          <w:sz w:val="32"/>
          <w:szCs w:val="32"/>
          <w:lang w:val="en-US" w:eastAsia="zh-CN"/>
        </w:rPr>
        <w:t>224.69</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26.69</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198</w:t>
      </w:r>
      <w:r>
        <w:rPr>
          <w:rFonts w:hint="eastAsia" w:ascii="仿宋_GB2312" w:eastAsia="仿宋_GB2312"/>
          <w:sz w:val="32"/>
          <w:szCs w:val="32"/>
        </w:rPr>
        <w:t>万元。主要用于</w:t>
      </w:r>
      <w:r>
        <w:rPr>
          <w:rFonts w:hint="eastAsia" w:ascii="仿宋_GB2312" w:eastAsia="仿宋_GB2312"/>
          <w:color w:val="auto"/>
          <w:sz w:val="32"/>
          <w:szCs w:val="32"/>
          <w:highlight w:val="none"/>
          <w:lang w:val="en-US" w:eastAsia="zh-CN"/>
        </w:rPr>
        <w:t>“一卡通”阳光审批系统建设、办公设施设备、家具采购等支出</w:t>
      </w:r>
      <w:r>
        <w:rPr>
          <w:rFonts w:hint="eastAsia" w:ascii="仿宋_GB2312" w:eastAsia="仿宋_GB2312"/>
          <w:sz w:val="32"/>
          <w:szCs w:val="32"/>
        </w:rPr>
        <w:t>。授予中小企业合同金额</w:t>
      </w:r>
      <w:r>
        <w:rPr>
          <w:rFonts w:hint="eastAsia" w:ascii="仿宋_GB2312" w:eastAsia="仿宋_GB2312"/>
          <w:sz w:val="32"/>
          <w:szCs w:val="32"/>
          <w:lang w:val="en-US" w:eastAsia="zh-CN"/>
        </w:rPr>
        <w:t>26.69</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11.89</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26.69</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11.89</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08" w:name="_Toc15377224"/>
      <w:r>
        <w:rPr>
          <w:rFonts w:hint="eastAsia" w:ascii="仿宋" w:hAnsi="仿宋" w:eastAsia="仿宋"/>
          <w:b/>
          <w:sz w:val="32"/>
          <w:szCs w:val="32"/>
        </w:rPr>
        <w:t>（三）国有资产占有使用情况</w:t>
      </w:r>
      <w:bookmarkEnd w:id="10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广元市人力资源和社会保障局本级</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辆，其中：其他用车</w:t>
      </w:r>
      <w:r>
        <w:rPr>
          <w:rFonts w:hint="eastAsia" w:ascii="仿宋_GB2312" w:eastAsia="仿宋_GB2312"/>
          <w:sz w:val="32"/>
          <w:szCs w:val="32"/>
          <w:lang w:val="en-US" w:eastAsia="zh-CN"/>
        </w:rPr>
        <w:t>1</w:t>
      </w:r>
      <w:r>
        <w:rPr>
          <w:rFonts w:hint="eastAsia" w:ascii="仿宋_GB2312" w:eastAsia="仿宋_GB2312"/>
          <w:sz w:val="32"/>
          <w:szCs w:val="32"/>
        </w:rPr>
        <w:t>辆，其他用车主要是</w:t>
      </w:r>
      <w:r>
        <w:rPr>
          <w:rFonts w:hint="eastAsia" w:ascii="仿宋_GB2312" w:eastAsia="仿宋_GB2312"/>
          <w:color w:val="auto"/>
          <w:sz w:val="32"/>
          <w:szCs w:val="32"/>
          <w:highlight w:val="none"/>
        </w:rPr>
        <w:t>用于</w:t>
      </w:r>
      <w:r>
        <w:rPr>
          <w:rFonts w:hint="eastAsia" w:ascii="仿宋_GB2312" w:eastAsia="仿宋_GB2312"/>
          <w:color w:val="auto"/>
          <w:sz w:val="32"/>
          <w:szCs w:val="32"/>
          <w:highlight w:val="none"/>
          <w:lang w:val="en-US" w:eastAsia="zh-CN"/>
        </w:rPr>
        <w:t>日常工作开展</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rFonts w:hAnsi="仿宋_GB2312" w:cs="仿宋_GB2312"/>
          <w:sz w:val="32"/>
          <w:szCs w:val="32"/>
        </w:rPr>
      </w:pPr>
      <w:r>
        <w:rPr>
          <w:rFonts w:hint="eastAsia" w:hAnsi="仿宋_GB2312" w:cs="仿宋_GB2312"/>
          <w:sz w:val="32"/>
          <w:szCs w:val="32"/>
        </w:rPr>
        <w:t>根据预算绩效管理要求，本单位在2022年度预算编制阶段，</w:t>
      </w:r>
      <w:r>
        <w:rPr>
          <w:rFonts w:hint="eastAsia" w:ascii="仿宋_GB2312" w:hAnsi="仿宋_GB2312" w:eastAsia="仿宋_GB2312" w:cs="仿宋_GB2312"/>
          <w:color w:val="auto"/>
          <w:sz w:val="32"/>
          <w:szCs w:val="32"/>
          <w:highlight w:val="none"/>
        </w:rPr>
        <w:t>组织对</w:t>
      </w:r>
      <w:r>
        <w:rPr>
          <w:rFonts w:hint="eastAsia" w:ascii="仿宋_GB2312" w:hAnsi="仿宋_GB2312" w:eastAsia="仿宋_GB2312" w:cs="仿宋_GB2312"/>
          <w:color w:val="auto"/>
          <w:sz w:val="32"/>
          <w:szCs w:val="32"/>
          <w:highlight w:val="none"/>
          <w:lang w:val="en-US" w:eastAsia="zh-CN"/>
        </w:rPr>
        <w:t>新增大于50万元的</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广元市第九届职业技能竞赛</w:t>
      </w:r>
      <w:r>
        <w:rPr>
          <w:rFonts w:hint="eastAsia" w:ascii="仿宋_GB2312" w:hAnsi="仿宋_GB2312" w:eastAsia="仿宋_GB2312" w:cs="仿宋_GB2312"/>
          <w:color w:val="auto"/>
          <w:sz w:val="32"/>
          <w:szCs w:val="32"/>
          <w:highlight w:val="none"/>
        </w:rPr>
        <w:t>）开展了预算事前绩效评估，</w:t>
      </w:r>
      <w:r>
        <w:rPr>
          <w:rFonts w:hint="eastAsia" w:hAnsi="仿宋_GB2312" w:cs="仿宋_GB2312"/>
          <w:sz w:val="32"/>
          <w:szCs w:val="32"/>
        </w:rPr>
        <w:t>对</w:t>
      </w:r>
      <w:r>
        <w:rPr>
          <w:rFonts w:hint="eastAsia" w:hAnsi="仿宋_GB2312" w:cs="仿宋_GB2312"/>
          <w:sz w:val="32"/>
          <w:szCs w:val="32"/>
          <w:lang w:val="en-US" w:eastAsia="zh-CN"/>
        </w:rPr>
        <w:t>42</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42</w:t>
      </w:r>
      <w:r>
        <w:rPr>
          <w:rFonts w:hint="eastAsia" w:hAnsi="仿宋_GB2312" w:cs="仿宋_GB2312"/>
          <w:sz w:val="32"/>
          <w:szCs w:val="32"/>
        </w:rPr>
        <w:t>个项目开展绩效监控，组织对</w:t>
      </w:r>
      <w:r>
        <w:rPr>
          <w:rFonts w:hint="eastAsia" w:hAnsi="仿宋_GB2312" w:cs="仿宋_GB2312"/>
          <w:sz w:val="32"/>
          <w:szCs w:val="32"/>
          <w:lang w:val="en-US" w:eastAsia="zh-CN"/>
        </w:rPr>
        <w:t>7个专项预算</w:t>
      </w:r>
      <w:r>
        <w:rPr>
          <w:rFonts w:hint="eastAsia" w:hAnsi="仿宋_GB2312" w:cs="仿宋_GB2312"/>
          <w:sz w:val="32"/>
          <w:szCs w:val="32"/>
        </w:rPr>
        <w:t>项目开展</w:t>
      </w:r>
      <w:r>
        <w:rPr>
          <w:rFonts w:hint="eastAsia" w:hAnsi="仿宋_GB2312" w:cs="仿宋_GB2312"/>
          <w:sz w:val="32"/>
          <w:szCs w:val="32"/>
          <w:lang w:val="en-US" w:eastAsia="zh-CN"/>
        </w:rPr>
        <w:t>了</w:t>
      </w:r>
      <w:r>
        <w:rPr>
          <w:rFonts w:hint="eastAsia" w:hAnsi="仿宋_GB2312" w:cs="仿宋_GB2312"/>
          <w:sz w:val="32"/>
          <w:szCs w:val="32"/>
        </w:rPr>
        <w:t>绩效自评</w:t>
      </w:r>
      <w:r>
        <w:rPr>
          <w:rFonts w:hint="eastAsia" w:hAnsi="仿宋_GB2312" w:cs="仿宋_GB2312"/>
          <w:sz w:val="32"/>
          <w:szCs w:val="32"/>
          <w:lang w:val="en-US" w:eastAsia="zh-CN"/>
        </w:rPr>
        <w:t>并撰写了自评报告，项目</w:t>
      </w:r>
      <w:r>
        <w:rPr>
          <w:rFonts w:hint="eastAsia" w:hAnsi="仿宋_GB2312" w:cs="仿宋_GB2312"/>
          <w:sz w:val="32"/>
          <w:szCs w:val="32"/>
        </w:rPr>
        <w:t>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keepNext w:val="0"/>
        <w:keepLines w:val="0"/>
        <w:pageBreakBefore w:val="0"/>
        <w:widowControl w:val="0"/>
        <w:numPr>
          <w:ilvl w:val="0"/>
          <w:numId w:val="5"/>
        </w:numPr>
        <w:kinsoku/>
        <w:wordWrap/>
        <w:overflowPunct/>
        <w:topLinePunct w:val="0"/>
        <w:bidi w:val="0"/>
        <w:spacing w:line="576" w:lineRule="exact"/>
        <w:ind w:firstLine="660" w:firstLineChars="150"/>
        <w:jc w:val="center"/>
        <w:textAlignment w:val="auto"/>
        <w:outlineLvl w:val="0"/>
        <w:rPr>
          <w:rStyle w:val="19"/>
          <w:rFonts w:ascii="黑体" w:hAnsi="黑体" w:eastAsia="黑体"/>
          <w:b w:val="0"/>
        </w:rPr>
      </w:pPr>
      <w:bookmarkStart w:id="109" w:name="_Toc15396613"/>
      <w:bookmarkStart w:id="110" w:name="_Toc15377225"/>
      <w:bookmarkStart w:id="111" w:name="_Toc16467"/>
      <w:bookmarkStart w:id="112" w:name="_Toc12234"/>
      <w:bookmarkStart w:id="113" w:name="_Toc26423"/>
      <w:r>
        <w:rPr>
          <w:rFonts w:hint="eastAsia" w:ascii="黑体" w:hAnsi="黑体" w:eastAsia="黑体"/>
          <w:sz w:val="44"/>
          <w:szCs w:val="44"/>
        </w:rPr>
        <w:t>名</w:t>
      </w:r>
      <w:r>
        <w:rPr>
          <w:rStyle w:val="19"/>
          <w:rFonts w:hint="eastAsia" w:ascii="黑体" w:hAnsi="黑体" w:eastAsia="黑体"/>
          <w:b w:val="0"/>
        </w:rPr>
        <w:t>词解释</w:t>
      </w:r>
      <w:bookmarkEnd w:id="109"/>
      <w:bookmarkEnd w:id="110"/>
      <w:bookmarkEnd w:id="111"/>
      <w:bookmarkEnd w:id="112"/>
      <w:bookmarkEnd w:id="113"/>
    </w:p>
    <w:p>
      <w:pPr>
        <w:keepNext w:val="0"/>
        <w:keepLines w:val="0"/>
        <w:pageBreakBefore w:val="0"/>
        <w:widowControl w:val="0"/>
        <w:kinsoku/>
        <w:wordWrap/>
        <w:overflowPunct/>
        <w:topLinePunct w:val="0"/>
        <w:bidi w:val="0"/>
        <w:spacing w:line="576" w:lineRule="exact"/>
        <w:jc w:val="left"/>
        <w:textAlignment w:val="auto"/>
        <w:rPr>
          <w:rFonts w:ascii="宋体"/>
          <w:b/>
          <w:sz w:val="44"/>
          <w:szCs w:val="44"/>
        </w:rPr>
      </w:pP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outlineLvl w:val="1"/>
        <w:rPr>
          <w:rFonts w:ascii="仿宋_GB2312" w:eastAsia="仿宋_GB2312"/>
          <w:sz w:val="32"/>
          <w:szCs w:val="32"/>
        </w:rPr>
      </w:pPr>
      <w:bookmarkStart w:id="114" w:name="_Toc32570"/>
      <w:bookmarkStart w:id="115" w:name="_Toc18481"/>
      <w:bookmarkStart w:id="116" w:name="_Toc13822"/>
      <w:bookmarkStart w:id="117" w:name="_Toc24343"/>
      <w:bookmarkStart w:id="118" w:name="_Toc18768"/>
      <w:bookmarkStart w:id="119" w:name="_Toc10765"/>
      <w:bookmarkStart w:id="120" w:name="_Toc15726"/>
      <w:bookmarkStart w:id="121" w:name="_Toc16068"/>
      <w:bookmarkStart w:id="122" w:name="_Toc11604"/>
      <w:bookmarkStart w:id="123" w:name="_Toc24070"/>
      <w:r>
        <w:rPr>
          <w:rFonts w:hint="eastAsia" w:ascii="仿宋_GB2312" w:eastAsia="仿宋_GB2312"/>
          <w:sz w:val="32"/>
          <w:szCs w:val="32"/>
        </w:rPr>
        <w:t>财政拨款收入：反映单位从同级财政部门取得的财政预算资金。</w:t>
      </w:r>
      <w:bookmarkEnd w:id="114"/>
      <w:bookmarkEnd w:id="115"/>
      <w:bookmarkEnd w:id="116"/>
      <w:bookmarkEnd w:id="117"/>
      <w:bookmarkEnd w:id="118"/>
      <w:bookmarkEnd w:id="119"/>
      <w:bookmarkEnd w:id="120"/>
      <w:bookmarkEnd w:id="121"/>
      <w:bookmarkEnd w:id="122"/>
      <w:bookmarkEnd w:id="123"/>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其他收入：反映单位取得的除上述收入以外的各项收入。主要是利息收入。</w:t>
      </w:r>
      <w:r>
        <w:rPr>
          <w:rFonts w:ascii="仿宋_GB2312" w:eastAsia="仿宋_GB2312"/>
          <w:sz w:val="32"/>
          <w:szCs w:val="32"/>
        </w:rPr>
        <w:t xml:space="preserve"> </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年初结转和结余：反映以前年度尚未完成、结转到本年按有关规定继续使用的资金。</w:t>
      </w:r>
      <w:r>
        <w:rPr>
          <w:rFonts w:ascii="仿宋_GB2312" w:eastAsia="仿宋_GB2312"/>
          <w:sz w:val="32"/>
          <w:szCs w:val="32"/>
        </w:rPr>
        <w:t xml:space="preserve"> </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年末结转和结余：反映单位按有关规定结转到下年或以后年度继续使用的资金。</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社会保障和就业支出（类）人力资源和社会保障管理事务（款）行政运行（项）：反映行政单位（包括实行公务员管理的事业单位）的基本支出。</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hint="eastAsia" w:ascii="仿宋_GB2312" w:eastAsia="仿宋_GB2312"/>
          <w:sz w:val="32"/>
          <w:szCs w:val="32"/>
        </w:rPr>
      </w:pPr>
      <w:r>
        <w:rPr>
          <w:rFonts w:hint="eastAsia" w:ascii="仿宋_GB2312" w:eastAsia="仿宋_GB2312"/>
          <w:sz w:val="32"/>
          <w:szCs w:val="32"/>
        </w:rPr>
        <w:t>社会保障和就业支出（类）人力资源和社会保障管理事务（款）一般行政管理事务（项）：反映行政单位（包括实行公务员管理的事业单位）未单独设置顶级科目其他项目支出。</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社会保障和就业支出（类）人力资源和社会保障管理事务（款）社会保险业务管理事务（项）：反映社会保险业务管理和基金监督方面的支出。</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社会保障和就业支出（类）人力资源和社会保障管理事务（款）信息化建设（项）：反映人力资源和社会保障部门用于信息化建设、运行维护和数据分析等方面的支出，如：金保工程、社会保障卡建设和运行维护、人力资源市场信息化等支出。</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社会保障和就业支出（类）人力资源和社会保障管理事务（款）劳动关系维和（项）：反映劳动关系和维权事务支出。</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hint="eastAsia" w:ascii="仿宋_GB2312" w:eastAsia="仿宋_GB2312"/>
          <w:sz w:val="32"/>
          <w:szCs w:val="32"/>
          <w:lang w:val="en-US" w:eastAsia="zh-CN"/>
        </w:rPr>
      </w:pPr>
      <w:r>
        <w:rPr>
          <w:rFonts w:hint="eastAsia" w:ascii="仿宋_GB2312" w:eastAsia="仿宋_GB2312"/>
          <w:sz w:val="32"/>
          <w:szCs w:val="32"/>
        </w:rPr>
        <w:t>社会保障和就业支出（类）人力资源和社会保障管理事务（款）</w:t>
      </w:r>
      <w:r>
        <w:rPr>
          <w:rFonts w:hint="eastAsia" w:ascii="仿宋_GB2312" w:eastAsia="仿宋_GB2312"/>
          <w:sz w:val="32"/>
          <w:szCs w:val="32"/>
          <w:lang w:val="en-US" w:eastAsia="zh-CN"/>
        </w:rPr>
        <w:t>政府特殊津贴</w:t>
      </w:r>
      <w:r>
        <w:rPr>
          <w:rFonts w:hint="eastAsia" w:ascii="仿宋_GB2312" w:eastAsia="仿宋_GB2312"/>
          <w:sz w:val="32"/>
          <w:szCs w:val="32"/>
        </w:rPr>
        <w:t>（项）：反映</w:t>
      </w:r>
      <w:r>
        <w:rPr>
          <w:rFonts w:hint="eastAsia" w:ascii="仿宋_GB2312" w:eastAsia="仿宋_GB2312"/>
          <w:sz w:val="32"/>
          <w:szCs w:val="32"/>
          <w:lang w:val="en-US" w:eastAsia="zh-CN"/>
        </w:rPr>
        <w:t>与政府津贴相关的支出。</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社会保障和就业支出（类）人力资源和社会保障管理事务（款）事业运行（项）：反映事业单位的基本支出，不包括行政单位（包括实行公务员管理的事业单位）后勤服务中心、医务室等附属事业单位。</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社会保障和就业支出（类）人力资源和社会保障管理事务（款）其他人力资源和社会保障管理事务支出（项）：反映除上述项目以外其他人力资源和社会保障管理事务方面的支出。</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社会保障和就业支出（类）行政事业单位</w:t>
      </w:r>
      <w:r>
        <w:rPr>
          <w:rFonts w:hint="eastAsia" w:ascii="仿宋_GB2312" w:eastAsia="仿宋_GB2312"/>
          <w:sz w:val="32"/>
          <w:szCs w:val="32"/>
          <w:lang w:val="en-US" w:eastAsia="zh-CN"/>
        </w:rPr>
        <w:t>养老支出</w:t>
      </w:r>
      <w:r>
        <w:rPr>
          <w:rFonts w:hint="eastAsia" w:ascii="仿宋_GB2312" w:eastAsia="仿宋_GB2312"/>
          <w:sz w:val="32"/>
          <w:szCs w:val="32"/>
        </w:rPr>
        <w:t>（款）行政单位离退休（项）：反映行政单位的行政单位（包括实行公务员管理的事业单位）开支的离退休支出。</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社会保障和就业支出（类）行政事业单位</w:t>
      </w:r>
      <w:r>
        <w:rPr>
          <w:rFonts w:hint="eastAsia" w:ascii="仿宋_GB2312" w:eastAsia="仿宋_GB2312"/>
          <w:sz w:val="32"/>
          <w:szCs w:val="32"/>
          <w:lang w:val="en-US" w:eastAsia="zh-CN"/>
        </w:rPr>
        <w:t>养老支出</w:t>
      </w:r>
      <w:r>
        <w:rPr>
          <w:rFonts w:hint="eastAsia" w:ascii="仿宋_GB2312" w:eastAsia="仿宋_GB2312"/>
          <w:sz w:val="32"/>
          <w:szCs w:val="32"/>
        </w:rPr>
        <w:t>（款）机关事业单位基本养老保险缴费支出（项）：反映机关事业单位实施养老保险制度有单位缴纳的基本养老保险费支出。</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社会保障和就业支出（类）行政事业单位</w:t>
      </w:r>
      <w:r>
        <w:rPr>
          <w:rFonts w:hint="eastAsia" w:ascii="仿宋_GB2312" w:eastAsia="仿宋_GB2312"/>
          <w:sz w:val="32"/>
          <w:szCs w:val="32"/>
          <w:lang w:val="en-US" w:eastAsia="zh-CN"/>
        </w:rPr>
        <w:t>养老支出</w:t>
      </w:r>
      <w:r>
        <w:rPr>
          <w:rFonts w:hint="eastAsia" w:ascii="仿宋_GB2312" w:eastAsia="仿宋_GB2312"/>
          <w:sz w:val="32"/>
          <w:szCs w:val="32"/>
        </w:rPr>
        <w:t>（款）机关事业单位职业年金缴费支出（项）：反映机关事业单位实施养老保险制度由单位实际缴纳的职业年金支出。</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社会保障和就业支出（类）就业补助（款）其他就业补助支出（项）：反映除上述项目以外按规定确定的其他用于促进就业的补助支出。</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hint="eastAsia" w:ascii="仿宋_GB2312" w:eastAsia="仿宋_GB2312"/>
          <w:sz w:val="32"/>
          <w:szCs w:val="32"/>
        </w:rPr>
      </w:pPr>
      <w:r>
        <w:rPr>
          <w:rFonts w:hint="eastAsia" w:ascii="仿宋_GB2312" w:eastAsia="仿宋_GB2312"/>
          <w:sz w:val="32"/>
          <w:szCs w:val="32"/>
          <w:lang w:val="en-US" w:eastAsia="zh-CN"/>
        </w:rPr>
        <w:t>卫生健康支出</w:t>
      </w:r>
      <w:r>
        <w:rPr>
          <w:rFonts w:hint="eastAsia" w:ascii="仿宋_GB2312" w:eastAsia="仿宋_GB2312"/>
          <w:sz w:val="32"/>
          <w:szCs w:val="32"/>
        </w:rPr>
        <w:t>（类）行政事业单位医疗（款）行政单位医疗（项）：反映财政部门安排的行政单位</w:t>
      </w:r>
      <w:r>
        <w:rPr>
          <w:rFonts w:hint="eastAsia" w:ascii="仿宋_GB2312" w:eastAsia="仿宋_GB2312"/>
          <w:sz w:val="32"/>
          <w:szCs w:val="32"/>
          <w:lang w:eastAsia="zh-CN"/>
        </w:rPr>
        <w:t>（</w:t>
      </w:r>
      <w:r>
        <w:rPr>
          <w:rFonts w:hint="eastAsia" w:ascii="仿宋_GB2312" w:eastAsia="仿宋_GB2312"/>
          <w:sz w:val="32"/>
          <w:szCs w:val="32"/>
          <w:lang w:val="en-US" w:eastAsia="zh-CN"/>
        </w:rPr>
        <w:t>包括实行公务员管理的事业单位，下同</w:t>
      </w:r>
      <w:r>
        <w:rPr>
          <w:rFonts w:hint="eastAsia" w:ascii="仿宋_GB2312" w:eastAsia="仿宋_GB2312"/>
          <w:sz w:val="32"/>
          <w:szCs w:val="32"/>
          <w:lang w:eastAsia="zh-CN"/>
        </w:rPr>
        <w:t>）</w:t>
      </w:r>
      <w:r>
        <w:rPr>
          <w:rFonts w:hint="eastAsia" w:ascii="仿宋_GB2312" w:eastAsia="仿宋_GB2312"/>
          <w:sz w:val="32"/>
          <w:szCs w:val="32"/>
        </w:rPr>
        <w:t>基本医疗保险缴费经费、未参加医疗保险的行政单位公费医疗经费，按国家规定享受离退休人员、红军老战士待遇人员的医疗经费。</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color w:val="000000"/>
          <w:sz w:val="32"/>
          <w:szCs w:val="32"/>
        </w:rPr>
      </w:pPr>
      <w:r>
        <w:rPr>
          <w:rFonts w:hint="eastAsia" w:ascii="仿宋_GB2312" w:eastAsia="仿宋_GB2312"/>
          <w:color w:val="000000"/>
          <w:sz w:val="32"/>
          <w:szCs w:val="32"/>
        </w:rPr>
        <w:t>基本支出：指为保障机构正常运转、完成日常工作任务而发生的人员支出和公用支出。</w:t>
      </w:r>
    </w:p>
    <w:p>
      <w:pPr>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color w:val="000000"/>
          <w:sz w:val="32"/>
          <w:szCs w:val="32"/>
        </w:rPr>
      </w:pP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keepNext w:val="0"/>
        <w:keepLines w:val="0"/>
        <w:pageBreakBefore w:val="0"/>
        <w:widowControl w:val="0"/>
        <w:numPr>
          <w:ilvl w:val="0"/>
          <w:numId w:val="6"/>
        </w:numPr>
        <w:kinsoku/>
        <w:wordWrap/>
        <w:overflowPunct/>
        <w:topLinePunct w:val="0"/>
        <w:bidi w:val="0"/>
        <w:spacing w:line="576" w:lineRule="exact"/>
        <w:ind w:left="0" w:leftChars="0" w:firstLine="400" w:firstLineChars="0"/>
        <w:textAlignment w:val="auto"/>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pacing w:line="560" w:lineRule="exact"/>
        <w:textAlignment w:val="auto"/>
        <w:rPr>
          <w:rFonts w:hint="eastAsia" w:ascii="黑体" w:hAnsi="黑体" w:eastAsia="黑体"/>
          <w:sz w:val="44"/>
          <w:szCs w:val="44"/>
        </w:rPr>
      </w:pPr>
      <w:bookmarkStart w:id="124" w:name="_Toc15396614"/>
      <w:bookmarkStart w:id="125" w:name="_Toc15377226"/>
      <w:r>
        <w:rPr>
          <w:rFonts w:hint="eastAsia" w:ascii="黑体" w:hAnsi="黑体" w:eastAsia="黑体"/>
          <w:sz w:val="44"/>
          <w:szCs w:val="44"/>
        </w:rPr>
        <w:br w:type="page"/>
      </w:r>
    </w:p>
    <w:p>
      <w:pPr>
        <w:spacing w:line="600" w:lineRule="exact"/>
        <w:jc w:val="center"/>
        <w:outlineLvl w:val="0"/>
        <w:rPr>
          <w:rStyle w:val="19"/>
          <w:rFonts w:hint="eastAsia" w:ascii="黑体" w:hAnsi="黑体" w:eastAsia="黑体"/>
          <w:b w:val="0"/>
        </w:rPr>
      </w:pPr>
      <w:bookmarkStart w:id="126" w:name="_Toc3334"/>
      <w:bookmarkStart w:id="127" w:name="_Toc6775"/>
      <w:bookmarkStart w:id="128" w:name="_Toc10104"/>
      <w:r>
        <w:rPr>
          <w:rFonts w:hint="eastAsia" w:ascii="黑体" w:hAnsi="黑体" w:eastAsia="黑体"/>
          <w:sz w:val="44"/>
          <w:szCs w:val="44"/>
        </w:rPr>
        <w:t>第</w:t>
      </w:r>
      <w:r>
        <w:rPr>
          <w:rStyle w:val="19"/>
          <w:rFonts w:hint="eastAsia" w:ascii="黑体" w:hAnsi="黑体" w:eastAsia="黑体"/>
          <w:b w:val="0"/>
        </w:rPr>
        <w:t>四部分 附件</w:t>
      </w:r>
      <w:bookmarkEnd w:id="124"/>
      <w:bookmarkEnd w:id="126"/>
      <w:bookmarkEnd w:id="127"/>
      <w:bookmarkEnd w:id="128"/>
    </w:p>
    <w:p>
      <w:pPr>
        <w:pStyle w:val="2"/>
        <w:ind w:firstLine="600" w:firstLineChars="200"/>
        <w:rPr>
          <w:rFonts w:hint="default" w:eastAsia="仿宋_GB2312"/>
          <w:lang w:val="en-US" w:eastAsia="zh-CN"/>
        </w:rPr>
      </w:pPr>
      <w:r>
        <w:rPr>
          <w:rFonts w:hint="eastAsia"/>
          <w:lang w:val="en-US" w:eastAsia="zh-CN"/>
        </w:rPr>
        <w:t>详情见“广元市人力资源和社会保障局2022年部门预算项目支出绩效自评表”。</w:t>
      </w:r>
    </w:p>
    <w:p>
      <w:pPr>
        <w:spacing w:line="572" w:lineRule="exact"/>
        <w:jc w:val="left"/>
        <w:outlineLvl w:val="9"/>
        <w:rPr>
          <w:rFonts w:ascii="仿宋_GB2312" w:hAnsi="仿宋_GB2312" w:eastAsia="仿宋_GB2312" w:cs="仿宋_GB2312"/>
          <w:sz w:val="32"/>
          <w:szCs w:val="32"/>
        </w:rPr>
      </w:pPr>
    </w:p>
    <w:p>
      <w:pPr>
        <w:jc w:val="center"/>
        <w:rPr>
          <w:rFonts w:hint="eastAsia" w:ascii="黑体" w:hAnsi="宋体" w:eastAsia="黑体" w:cs="Times New Roman"/>
          <w:b w:val="0"/>
          <w:bCs w:val="0"/>
          <w:color w:val="auto"/>
          <w:kern w:val="2"/>
          <w:sz w:val="32"/>
          <w:szCs w:val="32"/>
          <w:highlight w:val="none"/>
          <w:u w:val="none"/>
          <w:lang w:val="en-US" w:eastAsia="zh-CN" w:bidi="ar-SA"/>
        </w:rPr>
      </w:pPr>
      <w:bookmarkStart w:id="129" w:name="_Toc15396618"/>
      <w:r>
        <w:rPr>
          <w:rFonts w:hint="eastAsia" w:hAnsi="宋体" w:cs="宋体"/>
          <w:color w:val="auto"/>
          <w:kern w:val="0"/>
          <w:sz w:val="32"/>
          <w:szCs w:val="32"/>
          <w:highlight w:val="none"/>
          <w:shd w:val="clear" w:color="auto" w:fill="FFFFFF"/>
          <w:lang w:val="zh-CN"/>
        </w:rPr>
        <w:br w:type="page"/>
      </w:r>
      <w:bookmarkEnd w:id="125"/>
      <w:bookmarkEnd w:id="129"/>
      <w:bookmarkStart w:id="130" w:name="_Toc16855"/>
      <w:bookmarkStart w:id="131" w:name="_Toc30715"/>
      <w:bookmarkStart w:id="132" w:name="_Toc11786"/>
      <w:bookmarkStart w:id="133" w:name="_Toc6981"/>
      <w:bookmarkStart w:id="134" w:name="_Toc16245"/>
      <w:bookmarkStart w:id="135" w:name="_Toc4529"/>
      <w:bookmarkStart w:id="136" w:name="_Toc15396619"/>
      <w:r>
        <w:rPr>
          <w:rStyle w:val="19"/>
          <w:rFonts w:hint="eastAsia" w:ascii="黑体" w:hAnsi="黑体" w:eastAsia="黑体"/>
          <w:b w:val="0"/>
          <w:lang w:val="en-US" w:eastAsia="zh-CN"/>
        </w:rPr>
        <w:t xml:space="preserve">第五部分 </w:t>
      </w:r>
      <w:r>
        <w:rPr>
          <w:rStyle w:val="19"/>
          <w:rFonts w:hint="eastAsia" w:ascii="黑体" w:hAnsi="黑体" w:eastAsia="黑体"/>
          <w:b w:val="0"/>
        </w:rPr>
        <w:t>附表</w:t>
      </w:r>
      <w:bookmarkEnd w:id="130"/>
      <w:bookmarkEnd w:id="131"/>
      <w:bookmarkEnd w:id="132"/>
    </w:p>
    <w:p>
      <w:pPr>
        <w:pStyle w:val="4"/>
        <w:rPr>
          <w:rFonts w:hint="eastAsia" w:ascii="黑体" w:hAnsi="宋体" w:eastAsia="黑体" w:cs="Times New Roman"/>
          <w:b w:val="0"/>
          <w:bCs w:val="0"/>
          <w:color w:val="auto"/>
          <w:kern w:val="2"/>
          <w:sz w:val="32"/>
          <w:szCs w:val="32"/>
          <w:highlight w:val="none"/>
          <w:u w:val="none"/>
          <w:lang w:val="en-US" w:eastAsia="zh-CN" w:bidi="ar-SA"/>
        </w:rPr>
      </w:pPr>
    </w:p>
    <w:p>
      <w:pPr>
        <w:pStyle w:val="4"/>
        <w:rPr>
          <w:rFonts w:hint="eastAsia" w:ascii="黑体" w:hAnsi="宋体" w:eastAsia="黑体" w:cs="Times New Roman"/>
          <w:b w:val="0"/>
          <w:bCs w:val="0"/>
          <w:color w:val="auto"/>
          <w:kern w:val="2"/>
          <w:sz w:val="32"/>
          <w:szCs w:val="32"/>
          <w:highlight w:val="none"/>
          <w:u w:val="none"/>
          <w:lang w:val="en-US" w:eastAsia="zh-CN" w:bidi="ar-SA"/>
        </w:rPr>
      </w:pPr>
      <w:r>
        <w:rPr>
          <w:rFonts w:hint="eastAsia" w:ascii="黑体" w:hAnsi="宋体" w:eastAsia="黑体" w:cs="Times New Roman"/>
          <w:b w:val="0"/>
          <w:bCs w:val="0"/>
          <w:color w:val="auto"/>
          <w:kern w:val="2"/>
          <w:sz w:val="32"/>
          <w:szCs w:val="32"/>
          <w:highlight w:val="none"/>
          <w:u w:val="none"/>
          <w:lang w:val="en-US" w:eastAsia="zh-CN" w:bidi="ar-SA"/>
        </w:rPr>
        <w:t>一、收入支出决算总表</w:t>
      </w:r>
      <w:bookmarkEnd w:id="133"/>
      <w:bookmarkEnd w:id="134"/>
      <w:bookmarkEnd w:id="135"/>
      <w:bookmarkEnd w:id="136"/>
    </w:p>
    <w:p>
      <w:pPr>
        <w:pStyle w:val="4"/>
        <w:rPr>
          <w:rFonts w:hint="eastAsia" w:ascii="黑体" w:hAnsi="宋体" w:eastAsia="黑体" w:cs="Times New Roman"/>
          <w:b w:val="0"/>
          <w:bCs w:val="0"/>
          <w:color w:val="auto"/>
          <w:kern w:val="2"/>
          <w:sz w:val="32"/>
          <w:szCs w:val="32"/>
          <w:highlight w:val="none"/>
          <w:u w:val="none"/>
          <w:lang w:val="en-US" w:eastAsia="zh-CN" w:bidi="ar-SA"/>
        </w:rPr>
      </w:pPr>
      <w:bookmarkStart w:id="137" w:name="_Toc9756"/>
      <w:bookmarkStart w:id="138" w:name="_Toc14023"/>
      <w:bookmarkStart w:id="139" w:name="_Toc5228"/>
      <w:bookmarkStart w:id="140" w:name="_Toc15396620"/>
      <w:r>
        <w:rPr>
          <w:rFonts w:hint="eastAsia" w:ascii="黑体" w:hAnsi="宋体" w:eastAsia="黑体" w:cs="Times New Roman"/>
          <w:b w:val="0"/>
          <w:bCs w:val="0"/>
          <w:color w:val="auto"/>
          <w:kern w:val="2"/>
          <w:sz w:val="32"/>
          <w:szCs w:val="32"/>
          <w:highlight w:val="none"/>
          <w:u w:val="none"/>
          <w:lang w:val="en-US" w:eastAsia="zh-CN" w:bidi="ar-SA"/>
        </w:rPr>
        <w:t>二、收入决算表</w:t>
      </w:r>
      <w:bookmarkEnd w:id="137"/>
      <w:bookmarkEnd w:id="138"/>
      <w:bookmarkEnd w:id="139"/>
      <w:bookmarkEnd w:id="140"/>
    </w:p>
    <w:p>
      <w:pPr>
        <w:pStyle w:val="4"/>
        <w:rPr>
          <w:rFonts w:hint="eastAsia" w:ascii="黑体" w:hAnsi="宋体" w:eastAsia="黑体" w:cs="Times New Roman"/>
          <w:b w:val="0"/>
          <w:bCs w:val="0"/>
          <w:color w:val="auto"/>
          <w:kern w:val="2"/>
          <w:sz w:val="32"/>
          <w:szCs w:val="32"/>
          <w:highlight w:val="none"/>
          <w:u w:val="none"/>
          <w:lang w:val="en-US" w:eastAsia="zh-CN" w:bidi="ar-SA"/>
        </w:rPr>
      </w:pPr>
      <w:bookmarkStart w:id="141" w:name="_Toc5691"/>
      <w:bookmarkStart w:id="142" w:name="_Toc5101"/>
      <w:bookmarkStart w:id="143" w:name="_Toc15396621"/>
      <w:bookmarkStart w:id="144" w:name="_Toc10585"/>
      <w:r>
        <w:rPr>
          <w:rFonts w:hint="eastAsia" w:ascii="黑体" w:hAnsi="宋体" w:eastAsia="黑体" w:cs="Times New Roman"/>
          <w:b w:val="0"/>
          <w:bCs w:val="0"/>
          <w:color w:val="auto"/>
          <w:kern w:val="2"/>
          <w:sz w:val="32"/>
          <w:szCs w:val="32"/>
          <w:highlight w:val="none"/>
          <w:u w:val="none"/>
          <w:lang w:val="en-US" w:eastAsia="zh-CN" w:bidi="ar-SA"/>
        </w:rPr>
        <w:t>三、支出决算表</w:t>
      </w:r>
      <w:bookmarkEnd w:id="141"/>
      <w:bookmarkEnd w:id="142"/>
      <w:bookmarkEnd w:id="143"/>
      <w:bookmarkEnd w:id="144"/>
    </w:p>
    <w:p>
      <w:pPr>
        <w:pStyle w:val="4"/>
        <w:rPr>
          <w:rFonts w:hint="eastAsia" w:ascii="黑体" w:hAnsi="宋体" w:eastAsia="黑体" w:cs="Times New Roman"/>
          <w:b w:val="0"/>
          <w:bCs w:val="0"/>
          <w:color w:val="auto"/>
          <w:kern w:val="2"/>
          <w:sz w:val="32"/>
          <w:szCs w:val="32"/>
          <w:highlight w:val="none"/>
          <w:u w:val="none"/>
          <w:lang w:val="en-US" w:eastAsia="zh-CN" w:bidi="ar-SA"/>
        </w:rPr>
      </w:pPr>
      <w:bookmarkStart w:id="145" w:name="_Toc15396622"/>
      <w:bookmarkStart w:id="146" w:name="_Toc19882"/>
      <w:bookmarkStart w:id="147" w:name="_Toc9681"/>
      <w:bookmarkStart w:id="148" w:name="_Toc11560"/>
      <w:r>
        <w:rPr>
          <w:rFonts w:hint="eastAsia" w:ascii="黑体" w:hAnsi="宋体" w:eastAsia="黑体" w:cs="Times New Roman"/>
          <w:b w:val="0"/>
          <w:bCs w:val="0"/>
          <w:color w:val="auto"/>
          <w:kern w:val="2"/>
          <w:sz w:val="32"/>
          <w:szCs w:val="32"/>
          <w:highlight w:val="none"/>
          <w:u w:val="none"/>
          <w:lang w:val="en-US" w:eastAsia="zh-CN" w:bidi="ar-SA"/>
        </w:rPr>
        <w:t>四、财政拨款收入支出决算总表</w:t>
      </w:r>
      <w:bookmarkEnd w:id="145"/>
      <w:bookmarkEnd w:id="146"/>
      <w:bookmarkEnd w:id="147"/>
      <w:bookmarkEnd w:id="148"/>
    </w:p>
    <w:p>
      <w:pPr>
        <w:pStyle w:val="4"/>
        <w:rPr>
          <w:rFonts w:hint="eastAsia" w:ascii="黑体" w:hAnsi="宋体" w:eastAsia="黑体" w:cs="Times New Roman"/>
          <w:b w:val="0"/>
          <w:bCs w:val="0"/>
          <w:color w:val="auto"/>
          <w:kern w:val="2"/>
          <w:sz w:val="32"/>
          <w:szCs w:val="32"/>
          <w:highlight w:val="none"/>
          <w:u w:val="none"/>
          <w:lang w:val="en-US" w:eastAsia="zh-CN" w:bidi="ar-SA"/>
        </w:rPr>
      </w:pPr>
      <w:bookmarkStart w:id="149" w:name="_Toc19542"/>
      <w:bookmarkStart w:id="150" w:name="_Toc19494"/>
      <w:bookmarkStart w:id="151" w:name="_Toc15396623"/>
      <w:bookmarkStart w:id="152" w:name="_Toc12968"/>
      <w:r>
        <w:rPr>
          <w:rFonts w:hint="eastAsia" w:ascii="黑体" w:hAnsi="宋体" w:eastAsia="黑体" w:cs="Times New Roman"/>
          <w:b w:val="0"/>
          <w:bCs w:val="0"/>
          <w:color w:val="auto"/>
          <w:kern w:val="2"/>
          <w:sz w:val="32"/>
          <w:szCs w:val="32"/>
          <w:highlight w:val="none"/>
          <w:u w:val="none"/>
          <w:lang w:val="en-US" w:eastAsia="zh-CN" w:bidi="ar-SA"/>
        </w:rPr>
        <w:t>五、财政拨款支出决算明细表</w:t>
      </w:r>
      <w:bookmarkEnd w:id="149"/>
      <w:bookmarkEnd w:id="150"/>
      <w:bookmarkEnd w:id="151"/>
      <w:bookmarkEnd w:id="152"/>
      <w:bookmarkStart w:id="153" w:name="_Toc15396624"/>
    </w:p>
    <w:p>
      <w:pPr>
        <w:pStyle w:val="4"/>
        <w:rPr>
          <w:rFonts w:hint="eastAsia" w:ascii="黑体" w:hAnsi="宋体" w:eastAsia="黑体" w:cs="Times New Roman"/>
          <w:b w:val="0"/>
          <w:bCs w:val="0"/>
          <w:color w:val="auto"/>
          <w:kern w:val="2"/>
          <w:sz w:val="32"/>
          <w:szCs w:val="32"/>
          <w:highlight w:val="none"/>
          <w:u w:val="none"/>
          <w:lang w:val="en-US" w:eastAsia="zh-CN" w:bidi="ar-SA"/>
        </w:rPr>
      </w:pPr>
      <w:bookmarkStart w:id="154" w:name="_Toc22872"/>
      <w:bookmarkStart w:id="155" w:name="_Toc18699"/>
      <w:bookmarkStart w:id="156" w:name="_Toc27734"/>
      <w:r>
        <w:rPr>
          <w:rFonts w:hint="eastAsia" w:ascii="黑体" w:hAnsi="宋体" w:eastAsia="黑体" w:cs="Times New Roman"/>
          <w:b w:val="0"/>
          <w:bCs w:val="0"/>
          <w:color w:val="auto"/>
          <w:kern w:val="2"/>
          <w:sz w:val="32"/>
          <w:szCs w:val="32"/>
          <w:highlight w:val="none"/>
          <w:u w:val="none"/>
          <w:lang w:val="en-US" w:eastAsia="zh-CN" w:bidi="ar-SA"/>
        </w:rPr>
        <w:t>六、一般公共预算财政拨款支出决算表</w:t>
      </w:r>
      <w:bookmarkEnd w:id="153"/>
      <w:bookmarkEnd w:id="154"/>
      <w:bookmarkEnd w:id="155"/>
      <w:bookmarkEnd w:id="156"/>
    </w:p>
    <w:p>
      <w:pPr>
        <w:pStyle w:val="4"/>
        <w:rPr>
          <w:rFonts w:hint="eastAsia" w:ascii="黑体" w:hAnsi="宋体" w:eastAsia="黑体" w:cs="Times New Roman"/>
          <w:b w:val="0"/>
          <w:bCs w:val="0"/>
          <w:color w:val="auto"/>
          <w:kern w:val="2"/>
          <w:sz w:val="32"/>
          <w:szCs w:val="32"/>
          <w:highlight w:val="none"/>
          <w:u w:val="none"/>
          <w:lang w:val="en-US" w:eastAsia="zh-CN" w:bidi="ar-SA"/>
        </w:rPr>
      </w:pPr>
      <w:bookmarkStart w:id="157" w:name="_Toc30443"/>
      <w:bookmarkStart w:id="158" w:name="_Toc16411"/>
      <w:bookmarkStart w:id="159" w:name="_Toc15396625"/>
      <w:bookmarkStart w:id="160" w:name="_Toc6460"/>
      <w:r>
        <w:rPr>
          <w:rFonts w:hint="eastAsia" w:ascii="黑体" w:hAnsi="宋体" w:eastAsia="黑体" w:cs="Times New Roman"/>
          <w:b w:val="0"/>
          <w:bCs w:val="0"/>
          <w:color w:val="auto"/>
          <w:kern w:val="2"/>
          <w:sz w:val="32"/>
          <w:szCs w:val="32"/>
          <w:highlight w:val="none"/>
          <w:u w:val="none"/>
          <w:lang w:val="en-US" w:eastAsia="zh-CN" w:bidi="ar-SA"/>
        </w:rPr>
        <w:t>七、一般公共预算财政拨款支出决算明细表</w:t>
      </w:r>
      <w:bookmarkEnd w:id="157"/>
      <w:bookmarkEnd w:id="158"/>
      <w:bookmarkEnd w:id="159"/>
      <w:bookmarkEnd w:id="160"/>
    </w:p>
    <w:p>
      <w:pPr>
        <w:pStyle w:val="4"/>
        <w:rPr>
          <w:rFonts w:hint="eastAsia" w:ascii="黑体" w:hAnsi="宋体" w:eastAsia="黑体" w:cs="Times New Roman"/>
          <w:b w:val="0"/>
          <w:bCs w:val="0"/>
          <w:color w:val="auto"/>
          <w:kern w:val="2"/>
          <w:sz w:val="32"/>
          <w:szCs w:val="32"/>
          <w:highlight w:val="none"/>
          <w:u w:val="none"/>
          <w:lang w:val="en-US" w:eastAsia="zh-CN" w:bidi="ar-SA"/>
        </w:rPr>
      </w:pPr>
      <w:bookmarkStart w:id="161" w:name="_Toc2314"/>
      <w:bookmarkStart w:id="162" w:name="_Toc937"/>
      <w:bookmarkStart w:id="163" w:name="_Toc15396626"/>
      <w:bookmarkStart w:id="164" w:name="_Toc6511"/>
      <w:r>
        <w:rPr>
          <w:rFonts w:hint="eastAsia" w:ascii="黑体" w:hAnsi="宋体" w:eastAsia="黑体" w:cs="Times New Roman"/>
          <w:b w:val="0"/>
          <w:bCs w:val="0"/>
          <w:color w:val="auto"/>
          <w:kern w:val="2"/>
          <w:sz w:val="32"/>
          <w:szCs w:val="32"/>
          <w:highlight w:val="none"/>
          <w:u w:val="none"/>
          <w:lang w:val="en-US" w:eastAsia="zh-CN" w:bidi="ar-SA"/>
        </w:rPr>
        <w:t>八、一般公共预算财政拨款基本支出决算表</w:t>
      </w:r>
      <w:bookmarkEnd w:id="161"/>
      <w:bookmarkEnd w:id="162"/>
      <w:bookmarkEnd w:id="163"/>
      <w:bookmarkEnd w:id="164"/>
    </w:p>
    <w:p>
      <w:pPr>
        <w:pStyle w:val="4"/>
        <w:rPr>
          <w:rFonts w:hint="eastAsia" w:ascii="黑体" w:hAnsi="宋体" w:eastAsia="黑体" w:cs="Times New Roman"/>
          <w:b w:val="0"/>
          <w:bCs w:val="0"/>
          <w:color w:val="auto"/>
          <w:kern w:val="2"/>
          <w:sz w:val="32"/>
          <w:szCs w:val="32"/>
          <w:highlight w:val="none"/>
          <w:u w:val="none"/>
          <w:lang w:val="en-US" w:eastAsia="zh-CN" w:bidi="ar-SA"/>
        </w:rPr>
      </w:pPr>
      <w:bookmarkStart w:id="165" w:name="_Toc15396627"/>
      <w:bookmarkStart w:id="166" w:name="_Toc20028"/>
      <w:bookmarkStart w:id="167" w:name="_Toc19032"/>
      <w:bookmarkStart w:id="168" w:name="_Toc16016"/>
      <w:r>
        <w:rPr>
          <w:rFonts w:hint="eastAsia" w:ascii="黑体" w:hAnsi="宋体" w:eastAsia="黑体" w:cs="Times New Roman"/>
          <w:b w:val="0"/>
          <w:bCs w:val="0"/>
          <w:color w:val="auto"/>
          <w:kern w:val="2"/>
          <w:sz w:val="32"/>
          <w:szCs w:val="32"/>
          <w:highlight w:val="none"/>
          <w:u w:val="none"/>
          <w:lang w:val="en-US" w:eastAsia="zh-CN" w:bidi="ar-SA"/>
        </w:rPr>
        <w:t>九、一般公共预算财政拨款项目支出决算表</w:t>
      </w:r>
      <w:bookmarkEnd w:id="165"/>
      <w:bookmarkEnd w:id="166"/>
      <w:bookmarkEnd w:id="167"/>
      <w:bookmarkEnd w:id="168"/>
    </w:p>
    <w:p>
      <w:pPr>
        <w:pStyle w:val="4"/>
        <w:rPr>
          <w:rFonts w:hint="eastAsia" w:ascii="黑体" w:hAnsi="宋体" w:eastAsia="黑体" w:cs="Times New Roman"/>
          <w:b w:val="0"/>
          <w:bCs w:val="0"/>
          <w:color w:val="auto"/>
          <w:kern w:val="2"/>
          <w:sz w:val="32"/>
          <w:szCs w:val="32"/>
          <w:highlight w:val="none"/>
          <w:u w:val="none"/>
          <w:lang w:val="en-US" w:eastAsia="zh-CN" w:bidi="ar-SA"/>
        </w:rPr>
      </w:pPr>
      <w:bookmarkStart w:id="169" w:name="_Toc15396628"/>
      <w:bookmarkStart w:id="170" w:name="_Toc22427"/>
      <w:bookmarkStart w:id="171" w:name="_Toc5594"/>
      <w:bookmarkStart w:id="172" w:name="_Toc30861"/>
      <w:r>
        <w:rPr>
          <w:rFonts w:hint="eastAsia" w:ascii="黑体" w:hAnsi="宋体" w:eastAsia="黑体" w:cs="Times New Roman"/>
          <w:b w:val="0"/>
          <w:bCs w:val="0"/>
          <w:color w:val="auto"/>
          <w:kern w:val="2"/>
          <w:sz w:val="32"/>
          <w:szCs w:val="32"/>
          <w:highlight w:val="none"/>
          <w:u w:val="none"/>
          <w:lang w:val="en-US" w:eastAsia="zh-CN" w:bidi="ar-SA"/>
        </w:rPr>
        <w:t>十、</w:t>
      </w:r>
      <w:bookmarkEnd w:id="169"/>
      <w:r>
        <w:rPr>
          <w:rFonts w:hint="eastAsia" w:ascii="黑体" w:hAnsi="宋体" w:eastAsia="黑体" w:cs="Times New Roman"/>
          <w:b w:val="0"/>
          <w:bCs w:val="0"/>
          <w:color w:val="auto"/>
          <w:kern w:val="2"/>
          <w:sz w:val="32"/>
          <w:szCs w:val="32"/>
          <w:highlight w:val="none"/>
          <w:u w:val="none"/>
          <w:lang w:val="en-US" w:eastAsia="zh-CN" w:bidi="ar-SA"/>
        </w:rPr>
        <w:t>政府性基金预算财政拨款收入支出决算表</w:t>
      </w:r>
      <w:bookmarkEnd w:id="170"/>
      <w:bookmarkEnd w:id="171"/>
      <w:bookmarkEnd w:id="172"/>
    </w:p>
    <w:p>
      <w:pPr>
        <w:pStyle w:val="4"/>
        <w:rPr>
          <w:rFonts w:hint="eastAsia" w:ascii="黑体" w:hAnsi="宋体" w:eastAsia="黑体" w:cs="Times New Roman"/>
          <w:b w:val="0"/>
          <w:bCs w:val="0"/>
          <w:color w:val="auto"/>
          <w:kern w:val="2"/>
          <w:sz w:val="32"/>
          <w:szCs w:val="32"/>
          <w:highlight w:val="none"/>
          <w:u w:val="none"/>
          <w:lang w:val="en-US" w:eastAsia="zh-CN" w:bidi="ar-SA"/>
        </w:rPr>
      </w:pPr>
      <w:bookmarkStart w:id="173" w:name="_Toc15396629"/>
      <w:bookmarkStart w:id="174" w:name="_Toc1577"/>
      <w:bookmarkStart w:id="175" w:name="_Toc21597"/>
      <w:bookmarkStart w:id="176" w:name="_Toc3016"/>
      <w:r>
        <w:rPr>
          <w:rFonts w:hint="eastAsia" w:ascii="黑体" w:hAnsi="宋体" w:eastAsia="黑体" w:cs="Times New Roman"/>
          <w:b w:val="0"/>
          <w:bCs w:val="0"/>
          <w:color w:val="auto"/>
          <w:kern w:val="2"/>
          <w:sz w:val="32"/>
          <w:szCs w:val="32"/>
          <w:highlight w:val="none"/>
          <w:u w:val="none"/>
          <w:lang w:val="en-US" w:eastAsia="zh-CN" w:bidi="ar-SA"/>
        </w:rPr>
        <w:t>十一、</w:t>
      </w:r>
      <w:bookmarkEnd w:id="173"/>
      <w:r>
        <w:rPr>
          <w:rFonts w:hint="eastAsia" w:ascii="黑体" w:hAnsi="宋体" w:eastAsia="黑体" w:cs="Times New Roman"/>
          <w:b w:val="0"/>
          <w:bCs w:val="0"/>
          <w:color w:val="auto"/>
          <w:kern w:val="2"/>
          <w:sz w:val="32"/>
          <w:szCs w:val="32"/>
          <w:highlight w:val="none"/>
          <w:u w:val="none"/>
          <w:lang w:val="en-US" w:eastAsia="zh-CN" w:bidi="ar-SA"/>
        </w:rPr>
        <w:t>国有资本经营预算财政拨款收入支出决算表</w:t>
      </w:r>
      <w:bookmarkEnd w:id="174"/>
      <w:bookmarkEnd w:id="175"/>
      <w:bookmarkEnd w:id="176"/>
    </w:p>
    <w:p>
      <w:pPr>
        <w:pStyle w:val="4"/>
        <w:rPr>
          <w:rFonts w:hint="eastAsia" w:ascii="黑体" w:hAnsi="宋体" w:eastAsia="黑体" w:cs="Times New Roman"/>
          <w:b w:val="0"/>
          <w:bCs w:val="0"/>
          <w:color w:val="auto"/>
          <w:kern w:val="2"/>
          <w:sz w:val="32"/>
          <w:szCs w:val="32"/>
          <w:highlight w:val="none"/>
          <w:u w:val="none"/>
          <w:lang w:val="en-US" w:eastAsia="zh-CN" w:bidi="ar-SA"/>
        </w:rPr>
      </w:pPr>
      <w:bookmarkStart w:id="177" w:name="_Toc15396630"/>
      <w:bookmarkStart w:id="178" w:name="_Toc2017"/>
      <w:bookmarkStart w:id="179" w:name="_Toc26515"/>
      <w:bookmarkStart w:id="180" w:name="_Toc30615"/>
      <w:r>
        <w:rPr>
          <w:rFonts w:hint="eastAsia" w:ascii="黑体" w:hAnsi="宋体" w:eastAsia="黑体" w:cs="Times New Roman"/>
          <w:b w:val="0"/>
          <w:bCs w:val="0"/>
          <w:color w:val="auto"/>
          <w:kern w:val="2"/>
          <w:sz w:val="32"/>
          <w:szCs w:val="32"/>
          <w:highlight w:val="none"/>
          <w:u w:val="none"/>
          <w:lang w:val="en-US" w:eastAsia="zh-CN" w:bidi="ar-SA"/>
        </w:rPr>
        <w:t>十二、</w:t>
      </w:r>
      <w:bookmarkEnd w:id="177"/>
      <w:r>
        <w:rPr>
          <w:rFonts w:hint="eastAsia" w:ascii="黑体" w:hAnsi="宋体" w:eastAsia="黑体" w:cs="Times New Roman"/>
          <w:b w:val="0"/>
          <w:bCs w:val="0"/>
          <w:color w:val="auto"/>
          <w:kern w:val="2"/>
          <w:sz w:val="32"/>
          <w:szCs w:val="32"/>
          <w:highlight w:val="none"/>
          <w:u w:val="none"/>
          <w:lang w:val="en-US" w:eastAsia="zh-CN" w:bidi="ar-SA"/>
        </w:rPr>
        <w:t>国有资本经营预算财政拨款支出决算表</w:t>
      </w:r>
      <w:bookmarkEnd w:id="178"/>
      <w:bookmarkEnd w:id="179"/>
      <w:bookmarkEnd w:id="180"/>
    </w:p>
    <w:p>
      <w:pPr>
        <w:pStyle w:val="4"/>
        <w:rPr>
          <w:rFonts w:hint="eastAsia" w:ascii="黑体" w:hAnsi="宋体" w:eastAsia="黑体" w:cs="Times New Roman"/>
          <w:b w:val="0"/>
          <w:bCs w:val="0"/>
          <w:color w:val="auto"/>
          <w:kern w:val="2"/>
          <w:sz w:val="32"/>
          <w:szCs w:val="32"/>
          <w:highlight w:val="none"/>
          <w:u w:val="none"/>
          <w:lang w:val="en-US" w:eastAsia="zh-CN" w:bidi="ar-SA"/>
        </w:rPr>
      </w:pPr>
      <w:bookmarkStart w:id="181" w:name="_Toc15396631"/>
      <w:bookmarkStart w:id="182" w:name="_Toc21687"/>
      <w:bookmarkStart w:id="183" w:name="_Toc1713"/>
      <w:bookmarkStart w:id="184" w:name="_Toc11169"/>
      <w:r>
        <w:rPr>
          <w:rFonts w:hint="eastAsia" w:ascii="黑体" w:hAnsi="宋体" w:eastAsia="黑体" w:cs="Times New Roman"/>
          <w:b w:val="0"/>
          <w:bCs w:val="0"/>
          <w:color w:val="auto"/>
          <w:kern w:val="2"/>
          <w:sz w:val="32"/>
          <w:szCs w:val="32"/>
          <w:highlight w:val="none"/>
          <w:u w:val="none"/>
          <w:lang w:val="en-US" w:eastAsia="zh-CN" w:bidi="ar-SA"/>
        </w:rPr>
        <w:t>十三、</w:t>
      </w:r>
      <w:bookmarkEnd w:id="181"/>
      <w:r>
        <w:rPr>
          <w:rFonts w:hint="eastAsia" w:ascii="黑体" w:hAnsi="宋体" w:eastAsia="黑体" w:cs="Times New Roman"/>
          <w:b w:val="0"/>
          <w:bCs w:val="0"/>
          <w:color w:val="auto"/>
          <w:kern w:val="2"/>
          <w:sz w:val="32"/>
          <w:szCs w:val="32"/>
          <w:highlight w:val="none"/>
          <w:u w:val="none"/>
          <w:lang w:val="en-US" w:eastAsia="zh-CN" w:bidi="ar-SA"/>
        </w:rPr>
        <w:t>财政拨款“三公”经费支出决算表</w:t>
      </w:r>
      <w:bookmarkEnd w:id="182"/>
      <w:bookmarkEnd w:id="183"/>
      <w:bookmarkEnd w:id="184"/>
    </w:p>
    <w:sectPr>
      <w:footerReference r:id="rId6" w:type="first"/>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0BB2B0-DB51-4201-83AB-27BB3FF717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F35BB555-ADE3-4B65-9958-FF423EFDFB6C}"/>
  </w:font>
  <w:font w:name="仿宋_GB2312">
    <w:panose1 w:val="02010609030101010101"/>
    <w:charset w:val="86"/>
    <w:family w:val="modern"/>
    <w:pitch w:val="default"/>
    <w:sig w:usb0="00000001" w:usb1="080E0000" w:usb2="00000000" w:usb3="00000000" w:csb0="00040000" w:csb1="00000000"/>
    <w:embedRegular r:id="rId3" w:fontKey="{2B3FBEE2-1646-4C99-B393-FEBDE9385177}"/>
  </w:font>
  <w:font w:name="仿宋">
    <w:panose1 w:val="02010609060101010101"/>
    <w:charset w:val="86"/>
    <w:family w:val="modern"/>
    <w:pitch w:val="default"/>
    <w:sig w:usb0="800002BF" w:usb1="38CF7CFA" w:usb2="00000016" w:usb3="00000000" w:csb0="00040001" w:csb1="00000000"/>
    <w:embedRegular r:id="rId4" w:fontKey="{01DD2D70-9182-41D1-920C-20266FFD94CF}"/>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embedRegular r:id="rId5" w:fontKey="{8056040E-2729-41AC-96EC-82BF6B79F12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55" o:spid="_x0000_s205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DE377C"/>
    <w:multiLevelType w:val="singleLevel"/>
    <w:tmpl w:val="B4DE377C"/>
    <w:lvl w:ilvl="0" w:tentative="0">
      <w:start w:val="1"/>
      <w:numFmt w:val="decimal"/>
      <w:suff w:val="nothing"/>
      <w:lvlText w:val="%1．"/>
      <w:lvlJc w:val="left"/>
      <w:pPr>
        <w:ind w:left="0" w:firstLine="400"/>
      </w:pPr>
      <w:rPr>
        <w:rFonts w:hint="default" w:ascii="Times New Roman" w:hAnsi="Times New Roman" w:cs="Times New Roman"/>
        <w:b w:val="0"/>
        <w:bCs w:val="0"/>
        <w:sz w:val="32"/>
        <w:szCs w:val="32"/>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067EE4B"/>
    <w:multiLevelType w:val="singleLevel"/>
    <w:tmpl w:val="1067EE4B"/>
    <w:lvl w:ilvl="0" w:tentative="0">
      <w:start w:val="1"/>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2FB6018"/>
    <w:multiLevelType w:val="singleLevel"/>
    <w:tmpl w:val="12FB6018"/>
    <w:lvl w:ilvl="0" w:tentative="0">
      <w:start w:val="1"/>
      <w:numFmt w:val="decimal"/>
      <w:suff w:val="nothing"/>
      <w:lvlText w:val="%1．"/>
      <w:lvlJc w:val="left"/>
      <w:pPr>
        <w:ind w:left="0" w:firstLine="400"/>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ZjODE3Y2RjYmYxOTA5MjMwNGM5NjQ4OTIyZjY2Zm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42A3"/>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B37CC"/>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D6272"/>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B68E3"/>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211"/>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27D26"/>
    <w:rsid w:val="014D28C9"/>
    <w:rsid w:val="019978BC"/>
    <w:rsid w:val="01C56903"/>
    <w:rsid w:val="01D152A8"/>
    <w:rsid w:val="021A09FD"/>
    <w:rsid w:val="025B2DC4"/>
    <w:rsid w:val="02671768"/>
    <w:rsid w:val="03157416"/>
    <w:rsid w:val="03305FFE"/>
    <w:rsid w:val="03433F84"/>
    <w:rsid w:val="03FD05D6"/>
    <w:rsid w:val="0430275A"/>
    <w:rsid w:val="04506958"/>
    <w:rsid w:val="04695C6C"/>
    <w:rsid w:val="049944FB"/>
    <w:rsid w:val="04AE367F"/>
    <w:rsid w:val="053A62B5"/>
    <w:rsid w:val="05C3315A"/>
    <w:rsid w:val="06497B03"/>
    <w:rsid w:val="06B86A37"/>
    <w:rsid w:val="073C31C4"/>
    <w:rsid w:val="07E775D3"/>
    <w:rsid w:val="08053EFD"/>
    <w:rsid w:val="080A32C2"/>
    <w:rsid w:val="095E38C5"/>
    <w:rsid w:val="097A6225"/>
    <w:rsid w:val="09D516AE"/>
    <w:rsid w:val="09D75426"/>
    <w:rsid w:val="0A2032A3"/>
    <w:rsid w:val="0A2368BD"/>
    <w:rsid w:val="0A27015B"/>
    <w:rsid w:val="0A5E78F5"/>
    <w:rsid w:val="0A9410BE"/>
    <w:rsid w:val="0A943317"/>
    <w:rsid w:val="0B2B77D7"/>
    <w:rsid w:val="0B8A37D8"/>
    <w:rsid w:val="0BD53BE7"/>
    <w:rsid w:val="0BDF6813"/>
    <w:rsid w:val="0BEF2EFA"/>
    <w:rsid w:val="0C913DEE"/>
    <w:rsid w:val="0CA21D1B"/>
    <w:rsid w:val="0CD20786"/>
    <w:rsid w:val="0D417786"/>
    <w:rsid w:val="0D554FDF"/>
    <w:rsid w:val="0D5D20E6"/>
    <w:rsid w:val="0D7C256C"/>
    <w:rsid w:val="0DBA12E6"/>
    <w:rsid w:val="0DD405FA"/>
    <w:rsid w:val="0E1704E7"/>
    <w:rsid w:val="0E3C619F"/>
    <w:rsid w:val="0E5434E9"/>
    <w:rsid w:val="0F39764E"/>
    <w:rsid w:val="0F607C6B"/>
    <w:rsid w:val="0FA1450C"/>
    <w:rsid w:val="0FB3423F"/>
    <w:rsid w:val="10725EA8"/>
    <w:rsid w:val="10981001"/>
    <w:rsid w:val="10C055FF"/>
    <w:rsid w:val="111451B1"/>
    <w:rsid w:val="118107EC"/>
    <w:rsid w:val="11DD6519"/>
    <w:rsid w:val="12386C7D"/>
    <w:rsid w:val="1273384D"/>
    <w:rsid w:val="127952CC"/>
    <w:rsid w:val="127A7296"/>
    <w:rsid w:val="1299771C"/>
    <w:rsid w:val="129A3494"/>
    <w:rsid w:val="12AD31C8"/>
    <w:rsid w:val="12D20E80"/>
    <w:rsid w:val="12F26E2C"/>
    <w:rsid w:val="13294F44"/>
    <w:rsid w:val="14FB646C"/>
    <w:rsid w:val="15D54F0F"/>
    <w:rsid w:val="15E213DA"/>
    <w:rsid w:val="160C28FB"/>
    <w:rsid w:val="162E0AC3"/>
    <w:rsid w:val="16BB723D"/>
    <w:rsid w:val="16CF240D"/>
    <w:rsid w:val="17051824"/>
    <w:rsid w:val="1732013F"/>
    <w:rsid w:val="18015F3F"/>
    <w:rsid w:val="186662F2"/>
    <w:rsid w:val="187C78C4"/>
    <w:rsid w:val="18A4506D"/>
    <w:rsid w:val="18E11E1D"/>
    <w:rsid w:val="1913558F"/>
    <w:rsid w:val="19AE61A3"/>
    <w:rsid w:val="1A085187"/>
    <w:rsid w:val="1AB175CD"/>
    <w:rsid w:val="1AD02149"/>
    <w:rsid w:val="1B485893"/>
    <w:rsid w:val="1B966EEF"/>
    <w:rsid w:val="1BD6378F"/>
    <w:rsid w:val="1BE8440E"/>
    <w:rsid w:val="1C9C6787"/>
    <w:rsid w:val="1CA23671"/>
    <w:rsid w:val="1CDC4DD5"/>
    <w:rsid w:val="1CFD2F9D"/>
    <w:rsid w:val="1D155CEE"/>
    <w:rsid w:val="1D2247B2"/>
    <w:rsid w:val="1D5C7CC4"/>
    <w:rsid w:val="1D70376F"/>
    <w:rsid w:val="1E05210A"/>
    <w:rsid w:val="1E4E3AB1"/>
    <w:rsid w:val="1E6A4663"/>
    <w:rsid w:val="1ECE2E43"/>
    <w:rsid w:val="1F212F73"/>
    <w:rsid w:val="1FC63B1B"/>
    <w:rsid w:val="20112FE8"/>
    <w:rsid w:val="201E7183"/>
    <w:rsid w:val="20230F6D"/>
    <w:rsid w:val="20871EEC"/>
    <w:rsid w:val="20B56069"/>
    <w:rsid w:val="20CE2C87"/>
    <w:rsid w:val="20F57F95"/>
    <w:rsid w:val="21B7196D"/>
    <w:rsid w:val="21E87D78"/>
    <w:rsid w:val="223B434C"/>
    <w:rsid w:val="224B0307"/>
    <w:rsid w:val="228C2DF9"/>
    <w:rsid w:val="228F4698"/>
    <w:rsid w:val="23490CEA"/>
    <w:rsid w:val="235F406A"/>
    <w:rsid w:val="23A61C99"/>
    <w:rsid w:val="23D04F68"/>
    <w:rsid w:val="23D762F6"/>
    <w:rsid w:val="240371BF"/>
    <w:rsid w:val="241C01AD"/>
    <w:rsid w:val="24861ACA"/>
    <w:rsid w:val="25711CC6"/>
    <w:rsid w:val="2584425C"/>
    <w:rsid w:val="25A71CF8"/>
    <w:rsid w:val="25C741E6"/>
    <w:rsid w:val="25E57A84"/>
    <w:rsid w:val="262B46D7"/>
    <w:rsid w:val="26AA1AA0"/>
    <w:rsid w:val="26D1527F"/>
    <w:rsid w:val="2749750B"/>
    <w:rsid w:val="27702CEA"/>
    <w:rsid w:val="27842671"/>
    <w:rsid w:val="27A75FE0"/>
    <w:rsid w:val="27EF34F1"/>
    <w:rsid w:val="27F56311"/>
    <w:rsid w:val="281C077C"/>
    <w:rsid w:val="28665E9B"/>
    <w:rsid w:val="28AF15F0"/>
    <w:rsid w:val="294C5091"/>
    <w:rsid w:val="29C4731D"/>
    <w:rsid w:val="29D137E8"/>
    <w:rsid w:val="29EC0622"/>
    <w:rsid w:val="29FD04D3"/>
    <w:rsid w:val="2A2878AC"/>
    <w:rsid w:val="2A6428AE"/>
    <w:rsid w:val="2ABE7A3E"/>
    <w:rsid w:val="2B4324C3"/>
    <w:rsid w:val="2BA32F62"/>
    <w:rsid w:val="2BB60EE7"/>
    <w:rsid w:val="2BB84C5F"/>
    <w:rsid w:val="2BC2163A"/>
    <w:rsid w:val="2C8E776E"/>
    <w:rsid w:val="2CA234A8"/>
    <w:rsid w:val="2CA90A4C"/>
    <w:rsid w:val="2D3227EF"/>
    <w:rsid w:val="2D855015"/>
    <w:rsid w:val="2DC45B3D"/>
    <w:rsid w:val="2E731311"/>
    <w:rsid w:val="2E836496"/>
    <w:rsid w:val="2EAD4823"/>
    <w:rsid w:val="2EFA178C"/>
    <w:rsid w:val="2F1523C9"/>
    <w:rsid w:val="302C1778"/>
    <w:rsid w:val="303074BA"/>
    <w:rsid w:val="309D4424"/>
    <w:rsid w:val="30A6152A"/>
    <w:rsid w:val="30B46D73"/>
    <w:rsid w:val="30BA4FD6"/>
    <w:rsid w:val="30EC0F07"/>
    <w:rsid w:val="319F7F4E"/>
    <w:rsid w:val="31EE13DB"/>
    <w:rsid w:val="328A09D8"/>
    <w:rsid w:val="32A23F73"/>
    <w:rsid w:val="33D47D4F"/>
    <w:rsid w:val="342B1D46"/>
    <w:rsid w:val="344F012B"/>
    <w:rsid w:val="34D16D92"/>
    <w:rsid w:val="34F338F2"/>
    <w:rsid w:val="353D28FB"/>
    <w:rsid w:val="357C0AAC"/>
    <w:rsid w:val="35857BDD"/>
    <w:rsid w:val="36B10C29"/>
    <w:rsid w:val="37236633"/>
    <w:rsid w:val="373A5A3B"/>
    <w:rsid w:val="37533A8E"/>
    <w:rsid w:val="37887BDC"/>
    <w:rsid w:val="37A8202C"/>
    <w:rsid w:val="383D272C"/>
    <w:rsid w:val="384A4E91"/>
    <w:rsid w:val="386677F1"/>
    <w:rsid w:val="38C2711D"/>
    <w:rsid w:val="38F17A02"/>
    <w:rsid w:val="394C69E7"/>
    <w:rsid w:val="3981442C"/>
    <w:rsid w:val="39AE70AB"/>
    <w:rsid w:val="3A10210A"/>
    <w:rsid w:val="3A1A0893"/>
    <w:rsid w:val="3A267238"/>
    <w:rsid w:val="3A6C5593"/>
    <w:rsid w:val="3A7A7584"/>
    <w:rsid w:val="3A856654"/>
    <w:rsid w:val="3AA0348E"/>
    <w:rsid w:val="3B506C62"/>
    <w:rsid w:val="3C0C0783"/>
    <w:rsid w:val="3C241E9D"/>
    <w:rsid w:val="3C4147FD"/>
    <w:rsid w:val="3C5E715D"/>
    <w:rsid w:val="3D932E36"/>
    <w:rsid w:val="3DC2196D"/>
    <w:rsid w:val="3E287A22"/>
    <w:rsid w:val="3E412892"/>
    <w:rsid w:val="3F0D6C18"/>
    <w:rsid w:val="3F165ACD"/>
    <w:rsid w:val="3F8D74B1"/>
    <w:rsid w:val="3F9F3A96"/>
    <w:rsid w:val="3FC574F3"/>
    <w:rsid w:val="40463C67"/>
    <w:rsid w:val="405F34A4"/>
    <w:rsid w:val="40E57E4D"/>
    <w:rsid w:val="40E67721"/>
    <w:rsid w:val="41085755"/>
    <w:rsid w:val="412B15D8"/>
    <w:rsid w:val="41306BEE"/>
    <w:rsid w:val="41E00614"/>
    <w:rsid w:val="42C57F36"/>
    <w:rsid w:val="42D31F27"/>
    <w:rsid w:val="431A7B56"/>
    <w:rsid w:val="431C567C"/>
    <w:rsid w:val="43394480"/>
    <w:rsid w:val="4359067E"/>
    <w:rsid w:val="439F11F3"/>
    <w:rsid w:val="43D30430"/>
    <w:rsid w:val="448E4357"/>
    <w:rsid w:val="44DF4BB3"/>
    <w:rsid w:val="45863281"/>
    <w:rsid w:val="45BB73CE"/>
    <w:rsid w:val="45EC57D9"/>
    <w:rsid w:val="460A2104"/>
    <w:rsid w:val="462A728F"/>
    <w:rsid w:val="46CD06C6"/>
    <w:rsid w:val="474B4782"/>
    <w:rsid w:val="47573126"/>
    <w:rsid w:val="47BC742D"/>
    <w:rsid w:val="48BD345D"/>
    <w:rsid w:val="48BF60AB"/>
    <w:rsid w:val="48DD58AD"/>
    <w:rsid w:val="492F5934"/>
    <w:rsid w:val="493C27E9"/>
    <w:rsid w:val="496F39ED"/>
    <w:rsid w:val="49DE18DD"/>
    <w:rsid w:val="49EA64D4"/>
    <w:rsid w:val="49FF41D3"/>
    <w:rsid w:val="4A1A0CE5"/>
    <w:rsid w:val="4A946440"/>
    <w:rsid w:val="4B3858A9"/>
    <w:rsid w:val="4B4B4D50"/>
    <w:rsid w:val="4B792520"/>
    <w:rsid w:val="4BBE19C6"/>
    <w:rsid w:val="4BE068DB"/>
    <w:rsid w:val="4BF6002B"/>
    <w:rsid w:val="4C92075D"/>
    <w:rsid w:val="4D445948"/>
    <w:rsid w:val="4D9A5B1B"/>
    <w:rsid w:val="4DDC6134"/>
    <w:rsid w:val="4DE374C2"/>
    <w:rsid w:val="4ECC4F01"/>
    <w:rsid w:val="4ECE2238"/>
    <w:rsid w:val="4EE334F2"/>
    <w:rsid w:val="5092231D"/>
    <w:rsid w:val="50B909AE"/>
    <w:rsid w:val="50F11EF6"/>
    <w:rsid w:val="5167040A"/>
    <w:rsid w:val="51A76A58"/>
    <w:rsid w:val="51AC0513"/>
    <w:rsid w:val="51DB4B86"/>
    <w:rsid w:val="52796647"/>
    <w:rsid w:val="52DB2E5E"/>
    <w:rsid w:val="52ED493F"/>
    <w:rsid w:val="5322283B"/>
    <w:rsid w:val="53603363"/>
    <w:rsid w:val="53672943"/>
    <w:rsid w:val="538C4158"/>
    <w:rsid w:val="53D37FD9"/>
    <w:rsid w:val="542720D3"/>
    <w:rsid w:val="544C0CD7"/>
    <w:rsid w:val="545A6004"/>
    <w:rsid w:val="54B81260"/>
    <w:rsid w:val="551E34D6"/>
    <w:rsid w:val="55333C3E"/>
    <w:rsid w:val="55990DAE"/>
    <w:rsid w:val="56045DBE"/>
    <w:rsid w:val="56CD0D0F"/>
    <w:rsid w:val="57743881"/>
    <w:rsid w:val="58201313"/>
    <w:rsid w:val="587873A1"/>
    <w:rsid w:val="58931AE5"/>
    <w:rsid w:val="58B8154B"/>
    <w:rsid w:val="58DC16DE"/>
    <w:rsid w:val="58F20F01"/>
    <w:rsid w:val="59050C34"/>
    <w:rsid w:val="59A57D21"/>
    <w:rsid w:val="59B937CD"/>
    <w:rsid w:val="5A1B6236"/>
    <w:rsid w:val="5A417754"/>
    <w:rsid w:val="5AB3021C"/>
    <w:rsid w:val="5C052CF9"/>
    <w:rsid w:val="5C3D6937"/>
    <w:rsid w:val="5DDE1A54"/>
    <w:rsid w:val="5E1831B8"/>
    <w:rsid w:val="5EBF1885"/>
    <w:rsid w:val="5F1119B5"/>
    <w:rsid w:val="5F1514A5"/>
    <w:rsid w:val="5F3C5815"/>
    <w:rsid w:val="5F610B8F"/>
    <w:rsid w:val="5FA11C8E"/>
    <w:rsid w:val="5FD84FBB"/>
    <w:rsid w:val="60067040"/>
    <w:rsid w:val="60114363"/>
    <w:rsid w:val="602A5424"/>
    <w:rsid w:val="606049A2"/>
    <w:rsid w:val="60820D20"/>
    <w:rsid w:val="620121B5"/>
    <w:rsid w:val="620B4DE2"/>
    <w:rsid w:val="62C40E60"/>
    <w:rsid w:val="62C7734E"/>
    <w:rsid w:val="630E6937"/>
    <w:rsid w:val="631A352E"/>
    <w:rsid w:val="632779F9"/>
    <w:rsid w:val="63440544"/>
    <w:rsid w:val="636D0C58"/>
    <w:rsid w:val="6408782B"/>
    <w:rsid w:val="648C220A"/>
    <w:rsid w:val="64B057DE"/>
    <w:rsid w:val="64CA39A1"/>
    <w:rsid w:val="65273CE0"/>
    <w:rsid w:val="653A1C66"/>
    <w:rsid w:val="657A6506"/>
    <w:rsid w:val="660B53B0"/>
    <w:rsid w:val="66141D57"/>
    <w:rsid w:val="66284EBD"/>
    <w:rsid w:val="6632327E"/>
    <w:rsid w:val="66552ACF"/>
    <w:rsid w:val="66AC6B93"/>
    <w:rsid w:val="66B94E0C"/>
    <w:rsid w:val="66E53E53"/>
    <w:rsid w:val="6728448A"/>
    <w:rsid w:val="682C3A9C"/>
    <w:rsid w:val="683926A8"/>
    <w:rsid w:val="688D02FE"/>
    <w:rsid w:val="68CF0917"/>
    <w:rsid w:val="691C1682"/>
    <w:rsid w:val="69630ADE"/>
    <w:rsid w:val="69FD7706"/>
    <w:rsid w:val="6A010FA4"/>
    <w:rsid w:val="6A9811DC"/>
    <w:rsid w:val="6AB75B07"/>
    <w:rsid w:val="6AF40B09"/>
    <w:rsid w:val="6B3158B9"/>
    <w:rsid w:val="6B361121"/>
    <w:rsid w:val="6B43383E"/>
    <w:rsid w:val="6B482C03"/>
    <w:rsid w:val="6BBC4465"/>
    <w:rsid w:val="6C4A05C8"/>
    <w:rsid w:val="6D3B1A89"/>
    <w:rsid w:val="6D6F4477"/>
    <w:rsid w:val="6D7952F5"/>
    <w:rsid w:val="6D910891"/>
    <w:rsid w:val="6DC02F24"/>
    <w:rsid w:val="6E421B8B"/>
    <w:rsid w:val="6E906D9A"/>
    <w:rsid w:val="6F54590E"/>
    <w:rsid w:val="6FA36659"/>
    <w:rsid w:val="6FAA3E8C"/>
    <w:rsid w:val="6FCD1928"/>
    <w:rsid w:val="701E3F32"/>
    <w:rsid w:val="70C1148D"/>
    <w:rsid w:val="70E60EF4"/>
    <w:rsid w:val="70E909E4"/>
    <w:rsid w:val="71025602"/>
    <w:rsid w:val="716167CC"/>
    <w:rsid w:val="71662034"/>
    <w:rsid w:val="71681E21"/>
    <w:rsid w:val="71BF4EC2"/>
    <w:rsid w:val="71EF3DD8"/>
    <w:rsid w:val="723637B5"/>
    <w:rsid w:val="72531DBD"/>
    <w:rsid w:val="72734D90"/>
    <w:rsid w:val="72A746B3"/>
    <w:rsid w:val="72BF7C4E"/>
    <w:rsid w:val="734939BC"/>
    <w:rsid w:val="73B76B77"/>
    <w:rsid w:val="740F250F"/>
    <w:rsid w:val="74100036"/>
    <w:rsid w:val="7412278C"/>
    <w:rsid w:val="742C4E6F"/>
    <w:rsid w:val="74583EB6"/>
    <w:rsid w:val="747405C4"/>
    <w:rsid w:val="7544268D"/>
    <w:rsid w:val="756D573F"/>
    <w:rsid w:val="75AF3FAA"/>
    <w:rsid w:val="75D457BF"/>
    <w:rsid w:val="77126C53"/>
    <w:rsid w:val="77A318EC"/>
    <w:rsid w:val="77C11D73"/>
    <w:rsid w:val="77D86A4A"/>
    <w:rsid w:val="78300CA6"/>
    <w:rsid w:val="7860158C"/>
    <w:rsid w:val="788B412F"/>
    <w:rsid w:val="78931961"/>
    <w:rsid w:val="78CF4963"/>
    <w:rsid w:val="78FC1106"/>
    <w:rsid w:val="7904082E"/>
    <w:rsid w:val="796E7CD8"/>
    <w:rsid w:val="79A11E5C"/>
    <w:rsid w:val="79E7B28D"/>
    <w:rsid w:val="79EE2BC7"/>
    <w:rsid w:val="7A9E639B"/>
    <w:rsid w:val="7AB83901"/>
    <w:rsid w:val="7AD86D48"/>
    <w:rsid w:val="7AE75F94"/>
    <w:rsid w:val="7B115E65"/>
    <w:rsid w:val="7B452CBB"/>
    <w:rsid w:val="7B607AF4"/>
    <w:rsid w:val="7B6A2721"/>
    <w:rsid w:val="7C991510"/>
    <w:rsid w:val="7CA51C63"/>
    <w:rsid w:val="7D012C11"/>
    <w:rsid w:val="7D221505"/>
    <w:rsid w:val="7D2A2168"/>
    <w:rsid w:val="7D8D0CED"/>
    <w:rsid w:val="7D9341B1"/>
    <w:rsid w:val="7E290672"/>
    <w:rsid w:val="7E335F3E"/>
    <w:rsid w:val="7ED700CE"/>
    <w:rsid w:val="7F2350C1"/>
    <w:rsid w:val="7F4A4D43"/>
    <w:rsid w:val="7F4C4618"/>
    <w:rsid w:val="7F686F78"/>
    <w:rsid w:val="7F9F20EE"/>
    <w:rsid w:val="9E3A10E2"/>
    <w:rsid w:val="BEFB63C2"/>
    <w:rsid w:val="F2E1F9D4"/>
    <w:rsid w:val="F7880819"/>
    <w:rsid w:val="FECF4C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footnote text"/>
    <w:basedOn w:val="1"/>
    <w:qFormat/>
    <w:uiPriority w:val="0"/>
    <w:pPr>
      <w:snapToGrid w:val="0"/>
      <w:jc w:val="left"/>
    </w:pPr>
    <w:rPr>
      <w:sz w:val="18"/>
      <w:szCs w:val="1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6"/>
    <w:next w:val="1"/>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rPr>
  </w:style>
  <w:style w:type="character" w:customStyle="1" w:styleId="19">
    <w:name w:val="标题 1 Char"/>
    <w:basedOn w:val="16"/>
    <w:link w:val="3"/>
    <w:qFormat/>
    <w:uiPriority w:val="9"/>
    <w:rPr>
      <w:rFonts w:ascii="Times New Roman" w:hAnsi="Times New Roman"/>
      <w:b/>
      <w:bCs/>
      <w:kern w:val="44"/>
      <w:sz w:val="44"/>
      <w:szCs w:val="44"/>
    </w:rPr>
  </w:style>
  <w:style w:type="character" w:customStyle="1" w:styleId="20">
    <w:name w:val="标题 2 Char"/>
    <w:basedOn w:val="16"/>
    <w:link w:val="4"/>
    <w:qFormat/>
    <w:uiPriority w:val="9"/>
    <w:rPr>
      <w:rFonts w:asciiTheme="majorHAnsi" w:hAnsiTheme="majorHAnsi" w:eastAsiaTheme="majorEastAsia" w:cstheme="majorBidi"/>
      <w:b/>
      <w:bCs/>
      <w:kern w:val="2"/>
      <w:sz w:val="32"/>
      <w:szCs w:val="32"/>
    </w:rPr>
  </w:style>
  <w:style w:type="character" w:customStyle="1" w:styleId="21">
    <w:name w:val="标题 3 Char"/>
    <w:basedOn w:val="16"/>
    <w:link w:val="5"/>
    <w:qFormat/>
    <w:uiPriority w:val="9"/>
    <w:rPr>
      <w:rFonts w:ascii="Times New Roman" w:hAnsi="Times New Roman"/>
      <w:b/>
      <w:bCs/>
      <w:kern w:val="2"/>
      <w:sz w:val="32"/>
      <w:szCs w:val="32"/>
    </w:rPr>
  </w:style>
  <w:style w:type="character" w:customStyle="1" w:styleId="22">
    <w:name w:val="Header Char"/>
    <w:basedOn w:val="16"/>
    <w:semiHidden/>
    <w:qFormat/>
    <w:uiPriority w:val="99"/>
    <w:rPr>
      <w:rFonts w:ascii="Times New Roman" w:hAnsi="Times New Roman"/>
      <w:sz w:val="18"/>
      <w:szCs w:val="18"/>
    </w:rPr>
  </w:style>
  <w:style w:type="character" w:customStyle="1" w:styleId="23">
    <w:name w:val="页眉 Char"/>
    <w:link w:val="10"/>
    <w:semiHidden/>
    <w:qFormat/>
    <w:locked/>
    <w:uiPriority w:val="99"/>
    <w:rPr>
      <w:sz w:val="18"/>
    </w:rPr>
  </w:style>
  <w:style w:type="character" w:customStyle="1" w:styleId="24">
    <w:name w:val="Footer Char"/>
    <w:basedOn w:val="16"/>
    <w:semiHidden/>
    <w:qFormat/>
    <w:uiPriority w:val="99"/>
    <w:rPr>
      <w:rFonts w:ascii="Times New Roman" w:hAnsi="Times New Roman"/>
      <w:sz w:val="18"/>
      <w:szCs w:val="18"/>
    </w:rPr>
  </w:style>
  <w:style w:type="character" w:customStyle="1" w:styleId="25">
    <w:name w:val="页脚 Char"/>
    <w:link w:val="9"/>
    <w:qFormat/>
    <w:locked/>
    <w:uiPriority w:val="99"/>
    <w:rPr>
      <w:sz w:val="18"/>
    </w:rPr>
  </w:style>
  <w:style w:type="character" w:customStyle="1" w:styleId="26">
    <w:name w:val="Body Text Char"/>
    <w:basedOn w:val="16"/>
    <w:semiHidden/>
    <w:qFormat/>
    <w:uiPriority w:val="99"/>
    <w:rPr>
      <w:rFonts w:ascii="Times New Roman" w:hAnsi="Times New Roman"/>
      <w:szCs w:val="24"/>
    </w:rPr>
  </w:style>
  <w:style w:type="character" w:customStyle="1" w:styleId="27">
    <w:name w:val="正文文本 Char"/>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批注框文本 Char"/>
    <w:basedOn w:val="16"/>
    <w:link w:val="8"/>
    <w:semiHidden/>
    <w:qFormat/>
    <w:uiPriority w:val="99"/>
    <w:rPr>
      <w:rFonts w:ascii="Times New Roman" w:hAnsi="Times New Roman"/>
      <w:kern w:val="2"/>
      <w:sz w:val="18"/>
      <w:szCs w:val="18"/>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[工作簿1]Sheet1!$K$11:$K$12</c:f>
              <c:strCache>
                <c:ptCount val="2"/>
                <c:pt idx="0">
                  <c:v>2022年</c:v>
                </c:pt>
                <c:pt idx="1">
                  <c:v>2021年</c:v>
                </c:pt>
              </c:strCache>
            </c:strRef>
          </c:cat>
          <c:val>
            <c:numRef>
              <c:f>[工作簿1]Sheet1!$L$11:$L$12</c:f>
              <c:numCache>
                <c:formatCode>General</c:formatCode>
                <c:ptCount val="2"/>
                <c:pt idx="0">
                  <c:v>3015.65</c:v>
                </c:pt>
                <c:pt idx="1">
                  <c:v>2953.96</c:v>
                </c:pt>
              </c:numCache>
            </c:numRef>
          </c:val>
        </c:ser>
        <c:dLbls>
          <c:showLegendKey val="0"/>
          <c:showVal val="0"/>
          <c:showCatName val="0"/>
          <c:showSerName val="0"/>
          <c:showPercent val="0"/>
          <c:showBubbleSize val="0"/>
        </c:dLbls>
        <c:gapWidth val="246"/>
        <c:overlap val="-28"/>
        <c:axId val="385933817"/>
        <c:axId val="170513876"/>
      </c:barChart>
      <c:catAx>
        <c:axId val="3859338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0513876"/>
        <c:crosses val="autoZero"/>
        <c:auto val="1"/>
        <c:lblAlgn val="ctr"/>
        <c:lblOffset val="100"/>
        <c:noMultiLvlLbl val="0"/>
      </c:catAx>
      <c:valAx>
        <c:axId val="17051387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9338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elete val="1"/>
          </c:dLbls>
          <c:cat>
            <c:strRef>
              <c:f>[工作簿1]Sheet1!$J$12:$J$13</c:f>
              <c:strCache>
                <c:ptCount val="2"/>
                <c:pt idx="0">
                  <c:v>一般公共预算财政拨款收入</c:v>
                </c:pt>
                <c:pt idx="1">
                  <c:v>其他收入</c:v>
                </c:pt>
              </c:strCache>
            </c:strRef>
          </c:cat>
          <c:val>
            <c:numRef>
              <c:f>[工作簿1]Sheet1!$K$12:$K$13</c:f>
              <c:numCache>
                <c:formatCode>General</c:formatCode>
                <c:ptCount val="2"/>
                <c:pt idx="0">
                  <c:v>2473.51</c:v>
                </c:pt>
                <c:pt idx="1">
                  <c:v>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elete val="1"/>
          </c:dLbls>
          <c:cat>
            <c:strRef>
              <c:f>[工作簿1]Sheet1!$H$10:$H$11</c:f>
              <c:strCache>
                <c:ptCount val="2"/>
                <c:pt idx="0">
                  <c:v>基本支出</c:v>
                </c:pt>
                <c:pt idx="1">
                  <c:v>项目支出</c:v>
                </c:pt>
              </c:strCache>
            </c:strRef>
          </c:cat>
          <c:val>
            <c:numRef>
              <c:f>[工作簿1]Sheet1!$I$10:$I$11</c:f>
              <c:numCache>
                <c:formatCode>General</c:formatCode>
                <c:ptCount val="2"/>
                <c:pt idx="0">
                  <c:v>1921.34</c:v>
                </c:pt>
                <c:pt idx="1">
                  <c:v>1076.1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[工作簿1]Sheet1!$J$10:$J$11</c:f>
              <c:strCache>
                <c:ptCount val="2"/>
                <c:pt idx="0">
                  <c:v>2022年</c:v>
                </c:pt>
                <c:pt idx="1">
                  <c:v>2021年</c:v>
                </c:pt>
              </c:strCache>
            </c:strRef>
          </c:cat>
          <c:val>
            <c:numRef>
              <c:f>[工作簿1]Sheet1!$K$10:$K$11</c:f>
              <c:numCache>
                <c:formatCode>General</c:formatCode>
                <c:ptCount val="2"/>
                <c:pt idx="0">
                  <c:v>3015.54</c:v>
                </c:pt>
                <c:pt idx="1">
                  <c:v>2953.56</c:v>
                </c:pt>
              </c:numCache>
            </c:numRef>
          </c:val>
        </c:ser>
        <c:dLbls>
          <c:showLegendKey val="0"/>
          <c:showVal val="0"/>
          <c:showCatName val="0"/>
          <c:showSerName val="0"/>
          <c:showPercent val="0"/>
          <c:showBubbleSize val="0"/>
        </c:dLbls>
        <c:gapWidth val="246"/>
        <c:overlap val="-28"/>
        <c:axId val="846827941"/>
        <c:axId val="583034910"/>
      </c:barChart>
      <c:catAx>
        <c:axId val="84682794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034910"/>
        <c:crosses val="autoZero"/>
        <c:auto val="1"/>
        <c:lblAlgn val="ctr"/>
        <c:lblOffset val="100"/>
        <c:noMultiLvlLbl val="0"/>
      </c:catAx>
      <c:valAx>
        <c:axId val="583034910"/>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682794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[工作簿1]Sheet1!$J$10:$J$11</c:f>
              <c:strCache>
                <c:ptCount val="2"/>
                <c:pt idx="0">
                  <c:v>2022年</c:v>
                </c:pt>
                <c:pt idx="1">
                  <c:v>2021年</c:v>
                </c:pt>
              </c:strCache>
            </c:strRef>
          </c:cat>
          <c:val>
            <c:numRef>
              <c:f>[工作簿1]Sheet1!$K$10:$K$11</c:f>
              <c:numCache>
                <c:formatCode>General</c:formatCode>
                <c:ptCount val="2"/>
                <c:pt idx="0">
                  <c:v>2997.33</c:v>
                </c:pt>
                <c:pt idx="1">
                  <c:v>2309.17</c:v>
                </c:pt>
              </c:numCache>
            </c:numRef>
          </c:val>
        </c:ser>
        <c:dLbls>
          <c:showLegendKey val="0"/>
          <c:showVal val="0"/>
          <c:showCatName val="0"/>
          <c:showSerName val="0"/>
          <c:showPercent val="0"/>
          <c:showBubbleSize val="0"/>
        </c:dLbls>
        <c:gapWidth val="246"/>
        <c:overlap val="-28"/>
        <c:axId val="554882788"/>
        <c:axId val="855244080"/>
      </c:barChart>
      <c:catAx>
        <c:axId val="5548827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5244080"/>
        <c:crosses val="autoZero"/>
        <c:auto val="1"/>
        <c:lblAlgn val="ctr"/>
        <c:lblOffset val="100"/>
        <c:noMultiLvlLbl val="0"/>
      </c:catAx>
      <c:valAx>
        <c:axId val="855244080"/>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8827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elete val="1"/>
          </c:dLbls>
          <c:cat>
            <c:strRef>
              <c:f>[工作簿1]Sheet1!$I$10:$I$12</c:f>
              <c:strCache>
                <c:ptCount val="3"/>
                <c:pt idx="0">
                  <c:v>社会保障和就业支出</c:v>
                </c:pt>
                <c:pt idx="1">
                  <c:v>卫生健康支出</c:v>
                </c:pt>
                <c:pt idx="2">
                  <c:v>住房保障支出</c:v>
                </c:pt>
              </c:strCache>
            </c:strRef>
          </c:cat>
          <c:val>
            <c:numRef>
              <c:f>[工作簿1]Sheet1!$J$10:$J$12</c:f>
              <c:numCache>
                <c:formatCode>General</c:formatCode>
                <c:ptCount val="3"/>
                <c:pt idx="0">
                  <c:v>2818.16</c:v>
                </c:pt>
                <c:pt idx="1">
                  <c:v>53.11</c:v>
                </c:pt>
                <c:pt idx="2">
                  <c:v>126.06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elete val="1"/>
          </c:dLbls>
          <c:cat>
            <c:strRef>
              <c:f>[工作簿1]Sheet1!$I$9:$I$10</c:f>
              <c:strCache>
                <c:ptCount val="2"/>
                <c:pt idx="0">
                  <c:v>公务用车购置及运行维护费支出决算</c:v>
                </c:pt>
                <c:pt idx="1">
                  <c:v>公务接待费支出</c:v>
                </c:pt>
              </c:strCache>
            </c:strRef>
          </c:cat>
          <c:val>
            <c:numRef>
              <c:f>[工作簿1]Sheet1!$J$9:$J$10</c:f>
              <c:numCache>
                <c:formatCode>General</c:formatCode>
                <c:ptCount val="2"/>
                <c:pt idx="0">
                  <c:v>4.96</c:v>
                </c:pt>
                <c:pt idx="1">
                  <c:v>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5" textRotate="1"/>
    <customShpInfo spid="_x0000_s1027"/>
    <customShpInfo spid="_x0000_s1028"/>
    <customShpInfo spid="_x0000_s1031"/>
    <customShpInfo spid="_x0000_s1029"/>
    <customShpInfo spid="_x0000_s1033"/>
    <customShpInfo spid="_x0000_s1030"/>
    <customShpInfo spid="_x0000_s1037"/>
    <customShpInfo spid="_x0000_s1036"/>
    <customShpInfo spid="_x0000_s1038"/>
    <customShpInfo spid="_x0000_s1039"/>
    <customShpInfo spid="_x0000_s1045"/>
    <customShpInfo spid="_x0000_s1043"/>
    <customShpInfo spid="_x0000_s1040"/>
    <customShpInfo spid="_x0000_s1042"/>
    <customShpInfo spid="_x0000_s1044"/>
    <customShpInfo spid="_x0000_s1041"/>
    <customShpInfo spid="_x0000_s1049"/>
    <customShpInfo spid="_x0000_s1048"/>
    <customShpInfo spid="_x0000_s1047"/>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四川省财政厅</Company>
  <Pages>21</Pages>
  <Words>1188</Words>
  <Characters>6776</Characters>
  <Lines>56</Lines>
  <Paragraphs>15</Paragraphs>
  <TotalTime>27</TotalTime>
  <ScaleCrop>false</ScaleCrop>
  <LinksUpToDate>false</LinksUpToDate>
  <CharactersWithSpaces>7949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YY</cp:lastModifiedBy>
  <cp:lastPrinted>2023-07-31T18:35:00Z</cp:lastPrinted>
  <dcterms:modified xsi:type="dcterms:W3CDTF">2023-10-20T03:38:27Z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6B70361D626A4593B4A9C4A901EC4F63</vt:lpwstr>
  </property>
</Properties>
</file>