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9"/>
        <w:rPr>
          <w:rFonts w:ascii="方正小标宋简体" w:hAnsi="宋体" w:eastAsia="方正小标宋简体"/>
          <w:color w:val="auto"/>
          <w:sz w:val="21"/>
          <w:szCs w:val="21"/>
          <w:highlight w:val="none"/>
        </w:rPr>
      </w:pPr>
      <w:bookmarkStart w:id="0" w:name="_Toc15306267"/>
    </w:p>
    <w:p>
      <w:pPr>
        <w:spacing w:line="600" w:lineRule="exact"/>
        <w:jc w:val="center"/>
        <w:outlineLvl w:val="9"/>
        <w:rPr>
          <w:rFonts w:ascii="方正小标宋简体" w:hAnsi="宋体" w:eastAsia="方正小标宋简体"/>
          <w:color w:val="auto"/>
          <w:sz w:val="72"/>
          <w:szCs w:val="72"/>
          <w:highlight w:val="none"/>
        </w:rPr>
      </w:pPr>
    </w:p>
    <w:p>
      <w:pPr>
        <w:spacing w:line="600" w:lineRule="exact"/>
        <w:jc w:val="center"/>
        <w:outlineLvl w:val="9"/>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1" w:name="_Toc15377425"/>
      <w:bookmarkStart w:id="2" w:name="_Toc15377193"/>
      <w:bookmarkStart w:id="3" w:name="_Toc8372"/>
      <w:bookmarkStart w:id="4" w:name="_Toc15378441"/>
      <w:bookmarkStart w:id="5" w:name="_Toc26571"/>
      <w:bookmarkStart w:id="6" w:name="_Toc15396475"/>
      <w:bookmarkStart w:id="7" w:name="_Toc15396597"/>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22</w:t>
      </w:r>
      <w:r>
        <w:rPr>
          <w:rFonts w:hint="eastAsia" w:ascii="方正小标宋简体" w:hAnsi="方正小标宋简体" w:eastAsia="方正小标宋简体" w:cs="方正小标宋简体"/>
          <w:color w:val="auto"/>
          <w:sz w:val="72"/>
          <w:szCs w:val="72"/>
          <w:highlight w:val="none"/>
        </w:rPr>
        <w:t>年度</w:t>
      </w:r>
      <w:bookmarkEnd w:id="1"/>
      <w:bookmarkEnd w:id="2"/>
      <w:bookmarkEnd w:id="3"/>
      <w:bookmarkEnd w:id="4"/>
      <w:bookmarkEnd w:id="5"/>
      <w:bookmarkEnd w:id="6"/>
      <w:bookmarkEnd w:id="7"/>
    </w:p>
    <w:bookmarkEnd w:id="0"/>
    <w:p>
      <w:pPr>
        <w:adjustRightInd w:val="0"/>
        <w:snapToGrid w:val="0"/>
        <w:spacing w:line="360" w:lineRule="auto"/>
        <w:jc w:val="center"/>
        <w:outlineLvl w:val="0"/>
        <w:rPr>
          <w:rFonts w:hint="eastAsia" w:ascii="方正小标宋简体" w:hAnsi="宋体" w:eastAsia="方正小标宋简体"/>
          <w:color w:val="000000"/>
          <w:sz w:val="72"/>
          <w:szCs w:val="72"/>
        </w:rPr>
      </w:pPr>
      <w:bookmarkStart w:id="8" w:name="_Toc22511"/>
      <w:bookmarkStart w:id="9" w:name="_Toc24908"/>
      <w:bookmarkStart w:id="10" w:name="_Toc29746"/>
      <w:bookmarkStart w:id="11" w:name="_Toc9428"/>
      <w:bookmarkStart w:id="12" w:name="_Toc15377194"/>
      <w:bookmarkStart w:id="13" w:name="_Toc15396598"/>
      <w:bookmarkStart w:id="14" w:name="_Toc15378442"/>
      <w:bookmarkStart w:id="15" w:name="_Toc15306268"/>
      <w:bookmarkStart w:id="16" w:name="_Toc15377426"/>
      <w:bookmarkStart w:id="17" w:name="_Toc15396476"/>
      <w:r>
        <w:rPr>
          <w:rFonts w:hint="eastAsia" w:ascii="方正小标宋简体" w:hAnsi="宋体" w:eastAsia="方正小标宋简体"/>
          <w:color w:val="000000"/>
          <w:sz w:val="72"/>
          <w:szCs w:val="72"/>
        </w:rPr>
        <w:t>四川省广元市人才交流</w:t>
      </w:r>
      <w:bookmarkEnd w:id="8"/>
      <w:bookmarkEnd w:id="9"/>
      <w:bookmarkEnd w:id="10"/>
      <w:bookmarkEnd w:id="11"/>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18" w:name="_Toc25159"/>
      <w:bookmarkStart w:id="19" w:name="_Toc12830"/>
      <w:r>
        <w:rPr>
          <w:rFonts w:hint="eastAsia" w:ascii="方正小标宋简体" w:hAnsi="宋体" w:eastAsia="方正小标宋简体"/>
          <w:color w:val="000000"/>
          <w:sz w:val="72"/>
          <w:szCs w:val="72"/>
        </w:rPr>
        <w:t>中心</w:t>
      </w:r>
      <w:r>
        <w:rPr>
          <w:rFonts w:hint="eastAsia" w:ascii="方正小标宋简体" w:hAnsi="方正小标宋简体" w:eastAsia="方正小标宋简体" w:cs="方正小标宋简体"/>
          <w:color w:val="auto"/>
          <w:sz w:val="72"/>
          <w:szCs w:val="72"/>
          <w:highlight w:val="none"/>
          <w:lang w:eastAsia="zh-CN"/>
        </w:rPr>
        <w:t>单位</w:t>
      </w:r>
      <w:r>
        <w:rPr>
          <w:rFonts w:hint="eastAsia" w:ascii="方正小标宋简体" w:hAnsi="方正小标宋简体" w:eastAsia="方正小标宋简体" w:cs="方正小标宋简体"/>
          <w:color w:val="auto"/>
          <w:sz w:val="72"/>
          <w:szCs w:val="72"/>
          <w:highlight w:val="none"/>
        </w:rPr>
        <w:t>决算</w:t>
      </w:r>
      <w:bookmarkEnd w:id="12"/>
      <w:bookmarkEnd w:id="13"/>
      <w:bookmarkEnd w:id="14"/>
      <w:bookmarkEnd w:id="15"/>
      <w:bookmarkEnd w:id="16"/>
      <w:bookmarkEnd w:id="17"/>
      <w:bookmarkEnd w:id="18"/>
      <w:bookmarkEnd w:id="19"/>
    </w:p>
    <w:p>
      <w:pPr>
        <w:widowControl/>
        <w:jc w:val="center"/>
        <w:rPr>
          <w:rFonts w:hint="eastAsia" w:ascii="黑体" w:hAnsi="黑体" w:eastAsia="黑体"/>
          <w:color w:val="auto"/>
          <w:sz w:val="48"/>
          <w:szCs w:val="48"/>
          <w:highlight w:val="none"/>
        </w:rPr>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pPr>
    </w:p>
    <w:p>
      <w:pPr>
        <w:widowControl/>
        <w:jc w:val="center"/>
        <w:rPr>
          <w:rFonts w:ascii="黑体" w:hAnsi="黑体" w:eastAsia="黑体" w:cstheme="minorBidi"/>
          <w:color w:val="auto"/>
          <w:sz w:val="28"/>
          <w:szCs w:val="28"/>
          <w:highlight w:val="none"/>
        </w:rPr>
      </w:pPr>
      <w:r>
        <w:rPr>
          <w:rFonts w:hint="eastAsia" w:ascii="黑体" w:hAnsi="黑体" w:eastAsia="黑体"/>
          <w:color w:val="auto"/>
          <w:sz w:val="48"/>
          <w:szCs w:val="48"/>
          <w:highlight w:val="none"/>
        </w:rPr>
        <w:t>目录</w:t>
      </w:r>
    </w:p>
    <w:p>
      <w:pPr>
        <w:pStyle w:val="11"/>
        <w:rPr>
          <w:color w:val="auto"/>
          <w:highlight w:val="none"/>
        </w:rPr>
      </w:pPr>
      <w:r>
        <w:rPr>
          <w:rFonts w:hint="eastAsia"/>
          <w:color w:val="auto"/>
          <w:highlight w:val="none"/>
        </w:rPr>
        <w:t>公开时间：20</w:t>
      </w:r>
      <w:r>
        <w:rPr>
          <w:rFonts w:hint="eastAsia"/>
          <w:color w:val="auto"/>
          <w:highlight w:val="none"/>
          <w:lang w:val="en-US" w:eastAsia="zh-CN"/>
        </w:rPr>
        <w:t>23</w:t>
      </w:r>
      <w:r>
        <w:rPr>
          <w:rFonts w:hint="eastAsia"/>
          <w:color w:val="auto"/>
          <w:highlight w:val="none"/>
        </w:rPr>
        <w:t>年</w:t>
      </w:r>
      <w:r>
        <w:rPr>
          <w:rFonts w:hint="eastAsia"/>
          <w:color w:val="auto"/>
          <w:highlight w:val="none"/>
          <w:lang w:val="en-US" w:eastAsia="zh-CN"/>
        </w:rPr>
        <w:t>10</w:t>
      </w:r>
      <w:r>
        <w:rPr>
          <w:rFonts w:hint="eastAsia"/>
          <w:color w:val="auto"/>
          <w:highlight w:val="none"/>
        </w:rPr>
        <w:t>月</w:t>
      </w:r>
      <w:r>
        <w:rPr>
          <w:rFonts w:hint="eastAsia"/>
          <w:color w:val="auto"/>
          <w:highlight w:val="none"/>
          <w:lang w:val="en-US" w:eastAsia="zh-CN"/>
        </w:rPr>
        <w:t>16</w:t>
      </w:r>
      <w:r>
        <w:rPr>
          <w:rFonts w:hint="eastAsia"/>
          <w:color w:val="auto"/>
          <w:highlight w:val="none"/>
        </w:rPr>
        <w:t>日</w:t>
      </w:r>
      <w:bookmarkStart w:id="114" w:name="_GoBack"/>
      <w:bookmarkEnd w:id="114"/>
    </w:p>
    <w:sdt>
      <w:sdtPr>
        <w:rPr>
          <w:rFonts w:ascii="宋体" w:hAnsi="宋体" w:eastAsia="宋体" w:cs="Times New Roman"/>
          <w:kern w:val="2"/>
          <w:sz w:val="21"/>
          <w:szCs w:val="24"/>
          <w:lang w:val="en-US" w:eastAsia="zh-CN" w:bidi="ar-SA"/>
        </w:rPr>
        <w:id w:val="147482621"/>
        <w15:color w:val="DBDBDB"/>
        <w:docPartObj>
          <w:docPartGallery w:val="Table of Contents"/>
          <w:docPartUnique/>
        </w:docPartObj>
      </w:sdtPr>
      <w:sdtEndPr>
        <w:rPr>
          <w:rFonts w:ascii="宋体" w:hAnsi="宋体" w:eastAsia="宋体" w:cs="Times New Roman"/>
          <w:b/>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bookmarkStart w:id="20" w:name="_Toc15377196"/>
          <w:bookmarkStart w:id="21" w:name="_Toc15396599"/>
          <w:r>
            <w:fldChar w:fldCharType="begin"/>
          </w:r>
          <w:r>
            <w:instrText xml:space="preserve">TOC \o "1-2" \h \u </w:instrText>
          </w:r>
          <w:r>
            <w:fldChar w:fldCharType="separate"/>
          </w:r>
        </w:p>
        <w:p>
          <w:pPr>
            <w:pStyle w:val="11"/>
            <w:tabs>
              <w:tab w:val="right" w:leader="dot" w:pos="8306"/>
              <w:tab w:val="clear" w:pos="8296"/>
            </w:tabs>
          </w:pPr>
          <w:r>
            <w:fldChar w:fldCharType="begin"/>
          </w:r>
          <w:r>
            <w:instrText xml:space="preserve"> HYPERLINK \l _Toc15759 </w:instrText>
          </w:r>
          <w:r>
            <w:fldChar w:fldCharType="separate"/>
          </w:r>
          <w:r>
            <w:rPr>
              <w:rFonts w:hint="eastAsia" w:ascii="黑体" w:hAnsi="黑体" w:eastAsia="黑体"/>
              <w:highlight w:val="none"/>
            </w:rPr>
            <w:t>第一部分</w:t>
          </w:r>
          <w:r>
            <w:rPr>
              <w:rFonts w:hint="eastAsia" w:ascii="黑体" w:hAnsi="黑体" w:eastAsia="黑体"/>
              <w:highlight w:val="none"/>
              <w:lang w:eastAsia="zh-CN"/>
            </w:rPr>
            <w:t>单位</w:t>
          </w:r>
          <w:r>
            <w:rPr>
              <w:rFonts w:hint="eastAsia" w:ascii="黑体" w:hAnsi="黑体" w:eastAsia="黑体"/>
              <w:bCs w:val="0"/>
              <w:highlight w:val="none"/>
            </w:rPr>
            <w:t>概况</w:t>
          </w:r>
          <w:r>
            <w:tab/>
          </w:r>
          <w:r>
            <w:fldChar w:fldCharType="begin"/>
          </w:r>
          <w:r>
            <w:instrText xml:space="preserve"> PAGEREF _Toc15759 \h </w:instrText>
          </w:r>
          <w:r>
            <w:fldChar w:fldCharType="separate"/>
          </w:r>
          <w:r>
            <w:t>1</w:t>
          </w:r>
          <w:r>
            <w:fldChar w:fldCharType="end"/>
          </w:r>
          <w:r>
            <w:fldChar w:fldCharType="end"/>
          </w:r>
        </w:p>
        <w:p>
          <w:pPr>
            <w:pStyle w:val="13"/>
            <w:tabs>
              <w:tab w:val="right" w:leader="dot" w:pos="8306"/>
              <w:tab w:val="clear" w:pos="8296"/>
            </w:tabs>
          </w:pPr>
          <w:r>
            <w:fldChar w:fldCharType="begin"/>
          </w:r>
          <w:r>
            <w:instrText xml:space="preserve"> HYPERLINK \l _Toc23957 </w:instrText>
          </w:r>
          <w:r>
            <w:fldChar w:fldCharType="separate"/>
          </w:r>
          <w:r>
            <w:rPr>
              <w:rFonts w:hint="eastAsia" w:ascii="黑体" w:hAnsi="黑体" w:eastAsia="黑体"/>
              <w:bCs w:val="0"/>
              <w:lang w:eastAsia="zh-CN"/>
            </w:rPr>
            <w:t>一、</w:t>
          </w:r>
          <w:r>
            <w:rPr>
              <w:rFonts w:hint="eastAsia" w:ascii="黑体" w:hAnsi="黑体" w:eastAsia="黑体"/>
              <w:bCs w:val="0"/>
              <w:highlight w:val="none"/>
              <w:lang w:eastAsia="zh-CN"/>
            </w:rPr>
            <w:t>主要职责</w:t>
          </w:r>
          <w:r>
            <w:tab/>
          </w:r>
          <w:r>
            <w:fldChar w:fldCharType="begin"/>
          </w:r>
          <w:r>
            <w:instrText xml:space="preserve"> PAGEREF _Toc23957 \h </w:instrText>
          </w:r>
          <w:r>
            <w:fldChar w:fldCharType="separate"/>
          </w:r>
          <w:r>
            <w:t>1</w:t>
          </w:r>
          <w:r>
            <w:fldChar w:fldCharType="end"/>
          </w:r>
          <w:r>
            <w:fldChar w:fldCharType="end"/>
          </w:r>
        </w:p>
        <w:p>
          <w:pPr>
            <w:pStyle w:val="13"/>
            <w:tabs>
              <w:tab w:val="right" w:leader="dot" w:pos="8306"/>
              <w:tab w:val="clear" w:pos="8296"/>
            </w:tabs>
          </w:pPr>
          <w:r>
            <w:fldChar w:fldCharType="begin"/>
          </w:r>
          <w:r>
            <w:instrText xml:space="preserve"> HYPERLINK \l _Toc16536 </w:instrText>
          </w:r>
          <w:r>
            <w:fldChar w:fldCharType="separate"/>
          </w:r>
          <w:r>
            <w:rPr>
              <w:rFonts w:hint="eastAsia" w:ascii="黑体" w:hAnsi="黑体" w:eastAsia="黑体"/>
              <w:highlight w:val="none"/>
              <w:lang w:val="en-US" w:eastAsia="zh-CN" w:bidi="ar-SA"/>
            </w:rPr>
            <w:t>二、机构设置</w:t>
          </w:r>
          <w:r>
            <w:tab/>
          </w:r>
          <w:r>
            <w:fldChar w:fldCharType="begin"/>
          </w:r>
          <w:r>
            <w:instrText xml:space="preserve"> PAGEREF _Toc16536 \h </w:instrText>
          </w:r>
          <w:r>
            <w:fldChar w:fldCharType="separate"/>
          </w:r>
          <w:r>
            <w:t>1</w:t>
          </w:r>
          <w:r>
            <w:fldChar w:fldCharType="end"/>
          </w:r>
          <w:r>
            <w:fldChar w:fldCharType="end"/>
          </w:r>
        </w:p>
        <w:p>
          <w:pPr>
            <w:pStyle w:val="11"/>
            <w:tabs>
              <w:tab w:val="right" w:leader="dot" w:pos="8306"/>
              <w:tab w:val="clear" w:pos="8296"/>
            </w:tabs>
          </w:pPr>
          <w:r>
            <w:fldChar w:fldCharType="begin"/>
          </w:r>
          <w:r>
            <w:instrText xml:space="preserve"> HYPERLINK \l _Toc1088 </w:instrText>
          </w:r>
          <w:r>
            <w:fldChar w:fldCharType="separate"/>
          </w:r>
          <w:r>
            <w:rPr>
              <w:rFonts w:hint="eastAsia" w:ascii="黑体" w:hAnsi="黑体" w:eastAsia="黑体"/>
              <w:bCs/>
              <w:highlight w:val="none"/>
            </w:rPr>
            <w:t>第二部分</w:t>
          </w:r>
          <w:r>
            <w:rPr>
              <w:rFonts w:hint="eastAsia" w:ascii="黑体" w:hAnsi="黑体" w:eastAsia="黑体"/>
              <w:bCs/>
              <w:highlight w:val="none"/>
              <w:lang w:val="en-US" w:eastAsia="zh-CN"/>
            </w:rPr>
            <w:t>2022年度</w:t>
          </w:r>
          <w:r>
            <w:rPr>
              <w:rFonts w:hint="eastAsia" w:ascii="黑体" w:hAnsi="黑体" w:eastAsia="黑体"/>
              <w:bCs/>
              <w:highlight w:val="none"/>
              <w:lang w:eastAsia="zh-CN"/>
            </w:rPr>
            <w:t>单位</w:t>
          </w:r>
          <w:r>
            <w:rPr>
              <w:rFonts w:hint="eastAsia" w:ascii="黑体" w:hAnsi="黑体" w:eastAsia="黑体"/>
              <w:bCs/>
              <w:highlight w:val="none"/>
            </w:rPr>
            <w:t>决算情况说明</w:t>
          </w:r>
          <w:r>
            <w:tab/>
          </w:r>
          <w:r>
            <w:fldChar w:fldCharType="begin"/>
          </w:r>
          <w:r>
            <w:instrText xml:space="preserve"> PAGEREF _Toc1088 \h </w:instrText>
          </w:r>
          <w:r>
            <w:fldChar w:fldCharType="separate"/>
          </w:r>
          <w:r>
            <w:t>2</w:t>
          </w:r>
          <w:r>
            <w:fldChar w:fldCharType="end"/>
          </w:r>
          <w:r>
            <w:fldChar w:fldCharType="end"/>
          </w:r>
        </w:p>
        <w:p>
          <w:pPr>
            <w:pStyle w:val="13"/>
            <w:tabs>
              <w:tab w:val="right" w:leader="dot" w:pos="8306"/>
              <w:tab w:val="clear" w:pos="8296"/>
            </w:tabs>
          </w:pPr>
          <w:r>
            <w:fldChar w:fldCharType="begin"/>
          </w:r>
          <w:r>
            <w:instrText xml:space="preserve"> HYPERLINK \l _Toc4449 </w:instrText>
          </w:r>
          <w:r>
            <w:fldChar w:fldCharType="separate"/>
          </w:r>
          <w:r>
            <w:rPr>
              <w:rFonts w:hint="default" w:ascii="黑体" w:hAnsi="黑体" w:eastAsia="黑体"/>
            </w:rPr>
            <w:t>一、</w:t>
          </w:r>
          <w:r>
            <w:rPr>
              <w:rFonts w:hint="eastAsia" w:ascii="黑体" w:hAnsi="黑体" w:eastAsia="黑体"/>
              <w:szCs w:val="32"/>
              <w:highlight w:val="none"/>
            </w:rPr>
            <w:t>收</w:t>
          </w:r>
          <w:r>
            <w:rPr>
              <w:rFonts w:hint="eastAsia" w:ascii="黑体" w:hAnsi="黑体" w:eastAsia="黑体"/>
              <w:highlight w:val="none"/>
            </w:rPr>
            <w:t>入支出决算总体情况说明</w:t>
          </w:r>
          <w:r>
            <w:tab/>
          </w:r>
          <w:r>
            <w:fldChar w:fldCharType="begin"/>
          </w:r>
          <w:r>
            <w:instrText xml:space="preserve"> PAGEREF _Toc4449 \h </w:instrText>
          </w:r>
          <w:r>
            <w:fldChar w:fldCharType="separate"/>
          </w:r>
          <w:r>
            <w:t>2</w:t>
          </w:r>
          <w:r>
            <w:fldChar w:fldCharType="end"/>
          </w:r>
          <w:r>
            <w:fldChar w:fldCharType="end"/>
          </w:r>
        </w:p>
        <w:p>
          <w:pPr>
            <w:pStyle w:val="13"/>
            <w:tabs>
              <w:tab w:val="right" w:leader="dot" w:pos="8306"/>
              <w:tab w:val="clear" w:pos="8296"/>
            </w:tabs>
          </w:pPr>
          <w:r>
            <w:fldChar w:fldCharType="begin"/>
          </w:r>
          <w:r>
            <w:instrText xml:space="preserve"> HYPERLINK \l _Toc18207 </w:instrText>
          </w:r>
          <w:r>
            <w:fldChar w:fldCharType="separate"/>
          </w:r>
          <w:r>
            <w:rPr>
              <w:rFonts w:hint="default" w:ascii="黑体" w:hAnsi="黑体" w:eastAsia="黑体"/>
            </w:rPr>
            <w:t>二、</w:t>
          </w:r>
          <w:r>
            <w:rPr>
              <w:rFonts w:hint="eastAsia" w:ascii="黑体" w:hAnsi="黑体" w:eastAsia="黑体"/>
              <w:szCs w:val="32"/>
              <w:highlight w:val="none"/>
            </w:rPr>
            <w:t>收</w:t>
          </w:r>
          <w:r>
            <w:rPr>
              <w:rFonts w:hint="eastAsia" w:ascii="黑体" w:hAnsi="黑体" w:eastAsia="黑体"/>
              <w:highlight w:val="none"/>
            </w:rPr>
            <w:t>入决算情况说明</w:t>
          </w:r>
          <w:r>
            <w:tab/>
          </w:r>
          <w:r>
            <w:fldChar w:fldCharType="begin"/>
          </w:r>
          <w:r>
            <w:instrText xml:space="preserve"> PAGEREF _Toc18207 \h </w:instrText>
          </w:r>
          <w:r>
            <w:fldChar w:fldCharType="separate"/>
          </w:r>
          <w:r>
            <w:t>2</w:t>
          </w:r>
          <w:r>
            <w:fldChar w:fldCharType="end"/>
          </w:r>
          <w:r>
            <w:fldChar w:fldCharType="end"/>
          </w:r>
        </w:p>
        <w:p>
          <w:pPr>
            <w:pStyle w:val="13"/>
            <w:tabs>
              <w:tab w:val="right" w:leader="dot" w:pos="8306"/>
              <w:tab w:val="clear" w:pos="8296"/>
            </w:tabs>
          </w:pPr>
          <w:r>
            <w:fldChar w:fldCharType="begin"/>
          </w:r>
          <w:r>
            <w:instrText xml:space="preserve"> HYPERLINK \l _Toc16633 </w:instrText>
          </w:r>
          <w:r>
            <w:fldChar w:fldCharType="separate"/>
          </w:r>
          <w:r>
            <w:rPr>
              <w:rFonts w:hint="default" w:ascii="黑体" w:hAnsi="黑体" w:eastAsia="黑体"/>
            </w:rPr>
            <w:t>三、</w:t>
          </w:r>
          <w:r>
            <w:rPr>
              <w:rFonts w:hint="eastAsia" w:ascii="黑体" w:hAnsi="黑体" w:eastAsia="黑体"/>
              <w:szCs w:val="32"/>
              <w:highlight w:val="none"/>
            </w:rPr>
            <w:t>支</w:t>
          </w:r>
          <w:r>
            <w:rPr>
              <w:rFonts w:hint="eastAsia" w:ascii="黑体" w:hAnsi="黑体" w:eastAsia="黑体"/>
              <w:highlight w:val="none"/>
            </w:rPr>
            <w:t>出决算情况说明</w:t>
          </w:r>
          <w:r>
            <w:tab/>
          </w:r>
          <w:r>
            <w:fldChar w:fldCharType="begin"/>
          </w:r>
          <w:r>
            <w:instrText xml:space="preserve"> PAGEREF _Toc16633 \h </w:instrText>
          </w:r>
          <w:r>
            <w:fldChar w:fldCharType="separate"/>
          </w:r>
          <w:r>
            <w:t>3</w:t>
          </w:r>
          <w:r>
            <w:fldChar w:fldCharType="end"/>
          </w:r>
          <w:r>
            <w:fldChar w:fldCharType="end"/>
          </w:r>
        </w:p>
        <w:p>
          <w:pPr>
            <w:pStyle w:val="13"/>
            <w:tabs>
              <w:tab w:val="right" w:leader="dot" w:pos="8306"/>
              <w:tab w:val="clear" w:pos="8296"/>
            </w:tabs>
          </w:pPr>
          <w:r>
            <w:fldChar w:fldCharType="begin"/>
          </w:r>
          <w:r>
            <w:instrText xml:space="preserve"> HYPERLINK \l _Toc16431 </w:instrText>
          </w:r>
          <w:r>
            <w:fldChar w:fldCharType="separate"/>
          </w:r>
          <w:r>
            <w:rPr>
              <w:rFonts w:hint="eastAsia" w:ascii="黑体" w:hAnsi="黑体" w:eastAsia="黑体"/>
              <w:szCs w:val="32"/>
              <w:highlight w:val="none"/>
            </w:rPr>
            <w:t>四、财</w:t>
          </w:r>
          <w:r>
            <w:rPr>
              <w:rFonts w:hint="eastAsia" w:ascii="黑体" w:hAnsi="黑体" w:eastAsia="黑体"/>
              <w:highlight w:val="none"/>
            </w:rPr>
            <w:t>政拨款收入支出决算总体情况说明</w:t>
          </w:r>
          <w:r>
            <w:tab/>
          </w:r>
          <w:r>
            <w:fldChar w:fldCharType="begin"/>
          </w:r>
          <w:r>
            <w:instrText xml:space="preserve"> PAGEREF _Toc16431 \h </w:instrText>
          </w:r>
          <w:r>
            <w:fldChar w:fldCharType="separate"/>
          </w:r>
          <w:r>
            <w:t>3</w:t>
          </w:r>
          <w:r>
            <w:fldChar w:fldCharType="end"/>
          </w:r>
          <w:r>
            <w:fldChar w:fldCharType="end"/>
          </w:r>
        </w:p>
        <w:p>
          <w:pPr>
            <w:pStyle w:val="13"/>
            <w:tabs>
              <w:tab w:val="right" w:leader="dot" w:pos="8306"/>
              <w:tab w:val="clear" w:pos="8296"/>
            </w:tabs>
          </w:pPr>
          <w:r>
            <w:fldChar w:fldCharType="begin"/>
          </w:r>
          <w:r>
            <w:instrText xml:space="preserve"> HYPERLINK \l _Toc13573 </w:instrText>
          </w:r>
          <w:r>
            <w:fldChar w:fldCharType="separate"/>
          </w:r>
          <w:r>
            <w:rPr>
              <w:rFonts w:hint="eastAsia" w:ascii="黑体" w:hAnsi="黑体" w:eastAsia="黑体"/>
              <w:szCs w:val="32"/>
              <w:highlight w:val="none"/>
            </w:rPr>
            <w:t>五、一</w:t>
          </w:r>
          <w:r>
            <w:rPr>
              <w:rFonts w:hint="eastAsia" w:ascii="黑体" w:hAnsi="黑体" w:eastAsia="黑体"/>
              <w:highlight w:val="none"/>
            </w:rPr>
            <w:t>般公共预算财政拨款支出决算情况说明</w:t>
          </w:r>
          <w:r>
            <w:tab/>
          </w:r>
          <w:r>
            <w:fldChar w:fldCharType="begin"/>
          </w:r>
          <w:r>
            <w:instrText xml:space="preserve"> PAGEREF _Toc13573 \h </w:instrText>
          </w:r>
          <w:r>
            <w:fldChar w:fldCharType="separate"/>
          </w:r>
          <w:r>
            <w:t>4</w:t>
          </w:r>
          <w:r>
            <w:fldChar w:fldCharType="end"/>
          </w:r>
          <w:r>
            <w:fldChar w:fldCharType="end"/>
          </w:r>
        </w:p>
        <w:p>
          <w:pPr>
            <w:pStyle w:val="13"/>
            <w:tabs>
              <w:tab w:val="right" w:leader="dot" w:pos="8306"/>
              <w:tab w:val="clear" w:pos="8296"/>
            </w:tabs>
          </w:pPr>
          <w:r>
            <w:fldChar w:fldCharType="begin"/>
          </w:r>
          <w:r>
            <w:instrText xml:space="preserve"> HYPERLINK \l _Toc9475 </w:instrText>
          </w:r>
          <w:r>
            <w:fldChar w:fldCharType="separate"/>
          </w:r>
          <w:r>
            <w:rPr>
              <w:rFonts w:hint="eastAsia" w:ascii="黑体" w:eastAsia="黑体"/>
              <w:szCs w:val="32"/>
              <w:highlight w:val="none"/>
            </w:rPr>
            <w:t>六、</w:t>
          </w:r>
          <w:r>
            <w:rPr>
              <w:rFonts w:hint="eastAsia" w:ascii="黑体" w:hAnsi="黑体" w:eastAsia="黑体"/>
              <w:szCs w:val="32"/>
              <w:highlight w:val="none"/>
            </w:rPr>
            <w:t>一</w:t>
          </w:r>
          <w:r>
            <w:rPr>
              <w:rFonts w:hint="eastAsia" w:ascii="黑体" w:hAnsi="黑体" w:eastAsia="黑体"/>
              <w:highlight w:val="none"/>
            </w:rPr>
            <w:t>般公共预算财政拨款基本支出决算情况说明</w:t>
          </w:r>
          <w:r>
            <w:tab/>
          </w:r>
          <w:r>
            <w:fldChar w:fldCharType="begin"/>
          </w:r>
          <w:r>
            <w:instrText xml:space="preserve"> PAGEREF _Toc9475 \h </w:instrText>
          </w:r>
          <w:r>
            <w:fldChar w:fldCharType="separate"/>
          </w:r>
          <w:r>
            <w:t>6</w:t>
          </w:r>
          <w:r>
            <w:fldChar w:fldCharType="end"/>
          </w:r>
          <w:r>
            <w:fldChar w:fldCharType="end"/>
          </w:r>
        </w:p>
        <w:p>
          <w:pPr>
            <w:pStyle w:val="13"/>
            <w:tabs>
              <w:tab w:val="right" w:leader="dot" w:pos="8306"/>
              <w:tab w:val="clear" w:pos="8296"/>
            </w:tabs>
          </w:pPr>
          <w:r>
            <w:fldChar w:fldCharType="begin"/>
          </w:r>
          <w:r>
            <w:instrText xml:space="preserve"> HYPERLINK \l _Toc4935 </w:instrText>
          </w:r>
          <w:r>
            <w:fldChar w:fldCharType="separate"/>
          </w:r>
          <w:r>
            <w:rPr>
              <w:rFonts w:hint="eastAsia" w:ascii="黑体" w:eastAsia="黑体"/>
              <w:szCs w:val="32"/>
              <w:highlight w:val="none"/>
            </w:rPr>
            <w:t>七、</w:t>
          </w:r>
          <w:r>
            <w:rPr>
              <w:rFonts w:hint="eastAsia" w:ascii="黑体" w:hAnsi="黑体" w:eastAsia="黑体"/>
              <w:highlight w:val="none"/>
            </w:rPr>
            <w:t>财政拨款“三公”经费支出决算情况说明</w:t>
          </w:r>
          <w:r>
            <w:tab/>
          </w:r>
          <w:r>
            <w:fldChar w:fldCharType="begin"/>
          </w:r>
          <w:r>
            <w:instrText xml:space="preserve"> PAGEREF _Toc4935 \h </w:instrText>
          </w:r>
          <w:r>
            <w:fldChar w:fldCharType="separate"/>
          </w:r>
          <w:r>
            <w:t>6</w:t>
          </w:r>
          <w:r>
            <w:fldChar w:fldCharType="end"/>
          </w:r>
          <w:r>
            <w:fldChar w:fldCharType="end"/>
          </w:r>
        </w:p>
        <w:p>
          <w:pPr>
            <w:pStyle w:val="13"/>
            <w:tabs>
              <w:tab w:val="right" w:leader="dot" w:pos="8306"/>
              <w:tab w:val="clear" w:pos="8296"/>
            </w:tabs>
          </w:pPr>
          <w:r>
            <w:fldChar w:fldCharType="begin"/>
          </w:r>
          <w:r>
            <w:instrText xml:space="preserve"> HYPERLINK \l _Toc8981 </w:instrText>
          </w:r>
          <w:r>
            <w:fldChar w:fldCharType="separate"/>
          </w:r>
          <w:r>
            <w:rPr>
              <w:rFonts w:hint="eastAsia" w:ascii="黑体" w:eastAsia="黑体"/>
              <w:szCs w:val="32"/>
              <w:highlight w:val="none"/>
            </w:rPr>
            <w:t>八、</w:t>
          </w:r>
          <w:r>
            <w:rPr>
              <w:rFonts w:hint="eastAsia" w:ascii="黑体" w:hAnsi="黑体" w:eastAsia="黑体"/>
              <w:highlight w:val="none"/>
            </w:rPr>
            <w:t>政府性基金预算支出决算情况说明</w:t>
          </w:r>
          <w:r>
            <w:tab/>
          </w:r>
          <w:r>
            <w:fldChar w:fldCharType="begin"/>
          </w:r>
          <w:r>
            <w:instrText xml:space="preserve"> PAGEREF _Toc8981 \h </w:instrText>
          </w:r>
          <w:r>
            <w:fldChar w:fldCharType="separate"/>
          </w:r>
          <w:r>
            <w:t>7</w:t>
          </w:r>
          <w:r>
            <w:fldChar w:fldCharType="end"/>
          </w:r>
          <w:r>
            <w:fldChar w:fldCharType="end"/>
          </w:r>
        </w:p>
        <w:p>
          <w:pPr>
            <w:pStyle w:val="13"/>
            <w:tabs>
              <w:tab w:val="right" w:leader="dot" w:pos="8306"/>
              <w:tab w:val="clear" w:pos="8296"/>
            </w:tabs>
          </w:pPr>
          <w:r>
            <w:fldChar w:fldCharType="begin"/>
          </w:r>
          <w:r>
            <w:instrText xml:space="preserve"> HYPERLINK \l _Toc31438 </w:instrText>
          </w:r>
          <w:r>
            <w:fldChar w:fldCharType="separate"/>
          </w:r>
          <w:r>
            <w:rPr>
              <w:rFonts w:hint="eastAsia" w:ascii="黑体" w:hAnsi="黑体" w:eastAsia="黑体"/>
            </w:rPr>
            <w:t>九、</w:t>
          </w:r>
          <w:r>
            <w:rPr>
              <w:rFonts w:hint="eastAsia" w:ascii="黑体" w:hAnsi="黑体" w:eastAsia="黑体"/>
              <w:highlight w:val="none"/>
            </w:rPr>
            <w:t>国有资本经营预算支出决算情况说明</w:t>
          </w:r>
          <w:r>
            <w:tab/>
          </w:r>
          <w:r>
            <w:fldChar w:fldCharType="begin"/>
          </w:r>
          <w:r>
            <w:instrText xml:space="preserve"> PAGEREF _Toc31438 \h </w:instrText>
          </w:r>
          <w:r>
            <w:fldChar w:fldCharType="separate"/>
          </w:r>
          <w:r>
            <w:t>7</w:t>
          </w:r>
          <w:r>
            <w:fldChar w:fldCharType="end"/>
          </w:r>
          <w:r>
            <w:fldChar w:fldCharType="end"/>
          </w:r>
        </w:p>
        <w:p>
          <w:pPr>
            <w:pStyle w:val="13"/>
            <w:tabs>
              <w:tab w:val="right" w:leader="dot" w:pos="8306"/>
              <w:tab w:val="clear" w:pos="8296"/>
            </w:tabs>
          </w:pPr>
          <w:r>
            <w:fldChar w:fldCharType="begin"/>
          </w:r>
          <w:r>
            <w:instrText xml:space="preserve"> HYPERLINK \l _Toc22883 </w:instrText>
          </w:r>
          <w:r>
            <w:fldChar w:fldCharType="separate"/>
          </w:r>
          <w:r>
            <w:rPr>
              <w:rFonts w:hint="eastAsia" w:ascii="黑体" w:hAnsi="黑体" w:eastAsia="黑体"/>
            </w:rPr>
            <w:t>十、</w:t>
          </w:r>
          <w:r>
            <w:rPr>
              <w:rFonts w:hint="eastAsia" w:ascii="黑体" w:hAnsi="黑体" w:eastAsia="黑体"/>
              <w:highlight w:val="none"/>
            </w:rPr>
            <w:t>其他重要事项的情况说明</w:t>
          </w:r>
          <w:r>
            <w:tab/>
          </w:r>
          <w:r>
            <w:fldChar w:fldCharType="begin"/>
          </w:r>
          <w:r>
            <w:instrText xml:space="preserve"> PAGEREF _Toc22883 \h </w:instrText>
          </w:r>
          <w:r>
            <w:fldChar w:fldCharType="separate"/>
          </w:r>
          <w:r>
            <w:t>7</w:t>
          </w:r>
          <w:r>
            <w:fldChar w:fldCharType="end"/>
          </w:r>
          <w:r>
            <w:fldChar w:fldCharType="end"/>
          </w:r>
        </w:p>
        <w:p>
          <w:pPr>
            <w:pStyle w:val="11"/>
            <w:tabs>
              <w:tab w:val="right" w:leader="dot" w:pos="8306"/>
              <w:tab w:val="clear" w:pos="8296"/>
            </w:tabs>
          </w:pPr>
          <w:r>
            <w:fldChar w:fldCharType="begin"/>
          </w:r>
          <w:r>
            <w:instrText xml:space="preserve"> HYPERLINK \l _Toc23250 </w:instrText>
          </w:r>
          <w:r>
            <w:fldChar w:fldCharType="separate"/>
          </w:r>
          <w:r>
            <w:rPr>
              <w:rFonts w:hint="eastAsia" w:ascii="黑体" w:hAnsi="黑体" w:eastAsia="黑体" w:cs="黑体"/>
              <w:szCs w:val="44"/>
            </w:rPr>
            <w:t>第三部分</w:t>
          </w:r>
          <w:r>
            <w:rPr>
              <w:rFonts w:hint="eastAsia" w:ascii="黑体" w:hAnsi="黑体" w:eastAsia="黑体"/>
              <w:szCs w:val="44"/>
              <w:highlight w:val="none"/>
            </w:rPr>
            <w:t>名</w:t>
          </w:r>
          <w:r>
            <w:rPr>
              <w:rFonts w:hint="eastAsia" w:ascii="黑体" w:hAnsi="黑体" w:eastAsia="黑体"/>
              <w:highlight w:val="none"/>
            </w:rPr>
            <w:t>词解释</w:t>
          </w:r>
          <w:r>
            <w:tab/>
          </w:r>
          <w:r>
            <w:fldChar w:fldCharType="begin"/>
          </w:r>
          <w:r>
            <w:instrText xml:space="preserve"> PAGEREF _Toc23250 \h </w:instrText>
          </w:r>
          <w:r>
            <w:fldChar w:fldCharType="separate"/>
          </w:r>
          <w:r>
            <w:t>9</w:t>
          </w:r>
          <w:r>
            <w:fldChar w:fldCharType="end"/>
          </w:r>
          <w:r>
            <w:fldChar w:fldCharType="end"/>
          </w:r>
        </w:p>
        <w:p>
          <w:pPr>
            <w:pStyle w:val="11"/>
            <w:tabs>
              <w:tab w:val="right" w:leader="dot" w:pos="8306"/>
              <w:tab w:val="clear" w:pos="8296"/>
            </w:tabs>
          </w:pPr>
          <w:r>
            <w:fldChar w:fldCharType="begin"/>
          </w:r>
          <w:r>
            <w:instrText xml:space="preserve"> HYPERLINK \l _Toc13208 </w:instrText>
          </w:r>
          <w:r>
            <w:fldChar w:fldCharType="separate"/>
          </w:r>
          <w:r>
            <w:rPr>
              <w:rFonts w:hint="eastAsia" w:ascii="黑体" w:hAnsi="黑体" w:eastAsia="黑体"/>
              <w:szCs w:val="44"/>
              <w:highlight w:val="none"/>
            </w:rPr>
            <w:t>第</w:t>
          </w:r>
          <w:r>
            <w:rPr>
              <w:rFonts w:hint="eastAsia" w:ascii="黑体" w:hAnsi="黑体" w:eastAsia="黑体"/>
              <w:highlight w:val="none"/>
            </w:rPr>
            <w:t>四部分附件</w:t>
          </w:r>
          <w:r>
            <w:tab/>
          </w:r>
          <w:r>
            <w:fldChar w:fldCharType="begin"/>
          </w:r>
          <w:r>
            <w:instrText xml:space="preserve"> PAGEREF _Toc13208 \h </w:instrText>
          </w:r>
          <w:r>
            <w:fldChar w:fldCharType="separate"/>
          </w:r>
          <w:r>
            <w:t>12</w:t>
          </w:r>
          <w:r>
            <w:fldChar w:fldCharType="end"/>
          </w:r>
          <w:r>
            <w:fldChar w:fldCharType="end"/>
          </w:r>
        </w:p>
        <w:p>
          <w:pPr>
            <w:pStyle w:val="11"/>
            <w:tabs>
              <w:tab w:val="right" w:leader="dot" w:pos="8306"/>
              <w:tab w:val="clear" w:pos="8296"/>
            </w:tabs>
          </w:pPr>
          <w:r>
            <w:fldChar w:fldCharType="begin"/>
          </w:r>
          <w:r>
            <w:instrText xml:space="preserve"> HYPERLINK \l _Toc11931 </w:instrText>
          </w:r>
          <w:r>
            <w:fldChar w:fldCharType="separate"/>
          </w:r>
          <w:r>
            <w:rPr>
              <w:rFonts w:hint="eastAsia" w:ascii="黑体" w:hAnsi="黑体" w:eastAsia="黑体"/>
              <w:szCs w:val="44"/>
              <w:highlight w:val="none"/>
            </w:rPr>
            <w:t>第</w:t>
          </w:r>
          <w:r>
            <w:rPr>
              <w:rFonts w:hint="eastAsia" w:ascii="黑体" w:hAnsi="黑体" w:eastAsia="黑体"/>
              <w:highlight w:val="none"/>
            </w:rPr>
            <w:t>五部分附表</w:t>
          </w:r>
          <w:r>
            <w:tab/>
          </w:r>
          <w:r>
            <w:fldChar w:fldCharType="begin"/>
          </w:r>
          <w:r>
            <w:instrText xml:space="preserve"> PAGEREF _Toc11931 \h </w:instrText>
          </w:r>
          <w:r>
            <w:fldChar w:fldCharType="separate"/>
          </w:r>
          <w:r>
            <w:t>27</w:t>
          </w:r>
          <w:r>
            <w:fldChar w:fldCharType="end"/>
          </w:r>
          <w:r>
            <w:fldChar w:fldCharType="end"/>
          </w:r>
        </w:p>
        <w:p>
          <w:pPr>
            <w:pStyle w:val="13"/>
            <w:tabs>
              <w:tab w:val="right" w:leader="dot" w:pos="8306"/>
              <w:tab w:val="clear" w:pos="8296"/>
            </w:tabs>
          </w:pPr>
          <w:r>
            <w:fldChar w:fldCharType="begin"/>
          </w:r>
          <w:r>
            <w:instrText xml:space="preserve"> HYPERLINK \l _Toc16048 </w:instrText>
          </w:r>
          <w:r>
            <w:fldChar w:fldCharType="separate"/>
          </w:r>
          <w:r>
            <w:rPr>
              <w:rFonts w:hint="eastAsia" w:ascii="仿宋" w:hAnsi="仿宋" w:eastAsia="仿宋"/>
              <w:highlight w:val="none"/>
            </w:rPr>
            <w:t>一、收</w:t>
          </w:r>
          <w:r>
            <w:rPr>
              <w:rFonts w:hint="eastAsia" w:ascii="仿宋" w:hAnsi="仿宋" w:eastAsia="仿宋"/>
              <w:bCs w:val="0"/>
              <w:highlight w:val="none"/>
            </w:rPr>
            <w:t>入支出决算总表</w:t>
          </w:r>
          <w:r>
            <w:tab/>
          </w:r>
          <w:r>
            <w:fldChar w:fldCharType="begin"/>
          </w:r>
          <w:r>
            <w:instrText xml:space="preserve"> PAGEREF _Toc16048 \h </w:instrText>
          </w:r>
          <w:r>
            <w:fldChar w:fldCharType="separate"/>
          </w:r>
          <w:r>
            <w:t>27</w:t>
          </w:r>
          <w:r>
            <w:fldChar w:fldCharType="end"/>
          </w:r>
          <w:r>
            <w:fldChar w:fldCharType="end"/>
          </w:r>
        </w:p>
        <w:p>
          <w:pPr>
            <w:pStyle w:val="13"/>
            <w:tabs>
              <w:tab w:val="right" w:leader="dot" w:pos="8306"/>
              <w:tab w:val="clear" w:pos="8296"/>
            </w:tabs>
          </w:pPr>
          <w:r>
            <w:fldChar w:fldCharType="begin"/>
          </w:r>
          <w:r>
            <w:instrText xml:space="preserve"> HYPERLINK \l _Toc22212 </w:instrText>
          </w:r>
          <w:r>
            <w:fldChar w:fldCharType="separate"/>
          </w:r>
          <w:r>
            <w:rPr>
              <w:rFonts w:hint="eastAsia" w:ascii="仿宋" w:hAnsi="仿宋" w:eastAsia="仿宋"/>
              <w:highlight w:val="none"/>
            </w:rPr>
            <w:t>二、收</w:t>
          </w:r>
          <w:r>
            <w:rPr>
              <w:rFonts w:hint="eastAsia" w:ascii="仿宋" w:hAnsi="仿宋" w:eastAsia="仿宋"/>
              <w:bCs w:val="0"/>
              <w:highlight w:val="none"/>
            </w:rPr>
            <w:t>入决算表</w:t>
          </w:r>
          <w:r>
            <w:tab/>
          </w:r>
          <w:r>
            <w:fldChar w:fldCharType="begin"/>
          </w:r>
          <w:r>
            <w:instrText xml:space="preserve"> PAGEREF _Toc22212 \h </w:instrText>
          </w:r>
          <w:r>
            <w:fldChar w:fldCharType="separate"/>
          </w:r>
          <w:r>
            <w:t>27</w:t>
          </w:r>
          <w:r>
            <w:fldChar w:fldCharType="end"/>
          </w:r>
          <w:r>
            <w:fldChar w:fldCharType="end"/>
          </w:r>
        </w:p>
        <w:p>
          <w:pPr>
            <w:pStyle w:val="13"/>
            <w:tabs>
              <w:tab w:val="right" w:leader="dot" w:pos="8306"/>
              <w:tab w:val="clear" w:pos="8296"/>
            </w:tabs>
          </w:pPr>
          <w:r>
            <w:fldChar w:fldCharType="begin"/>
          </w:r>
          <w:r>
            <w:instrText xml:space="preserve"> HYPERLINK \l _Toc4735 </w:instrText>
          </w:r>
          <w:r>
            <w:fldChar w:fldCharType="separate"/>
          </w:r>
          <w:r>
            <w:rPr>
              <w:rFonts w:hint="eastAsia" w:ascii="仿宋" w:hAnsi="仿宋" w:eastAsia="仿宋"/>
              <w:bCs w:val="0"/>
              <w:highlight w:val="none"/>
            </w:rPr>
            <w:t>三、</w:t>
          </w:r>
          <w:r>
            <w:rPr>
              <w:rFonts w:hint="eastAsia" w:ascii="仿宋" w:hAnsi="仿宋" w:eastAsia="仿宋"/>
              <w:highlight w:val="none"/>
            </w:rPr>
            <w:t>支</w:t>
          </w:r>
          <w:r>
            <w:rPr>
              <w:rFonts w:hint="eastAsia" w:ascii="仿宋" w:hAnsi="仿宋" w:eastAsia="仿宋"/>
              <w:bCs w:val="0"/>
              <w:highlight w:val="none"/>
            </w:rPr>
            <w:t>出决算表</w:t>
          </w:r>
          <w:r>
            <w:tab/>
          </w:r>
          <w:r>
            <w:fldChar w:fldCharType="begin"/>
          </w:r>
          <w:r>
            <w:instrText xml:space="preserve"> PAGEREF _Toc4735 \h </w:instrText>
          </w:r>
          <w:r>
            <w:fldChar w:fldCharType="separate"/>
          </w:r>
          <w:r>
            <w:t>27</w:t>
          </w:r>
          <w:r>
            <w:fldChar w:fldCharType="end"/>
          </w:r>
          <w:r>
            <w:fldChar w:fldCharType="end"/>
          </w:r>
        </w:p>
        <w:p>
          <w:pPr>
            <w:pStyle w:val="13"/>
            <w:tabs>
              <w:tab w:val="right" w:leader="dot" w:pos="8306"/>
              <w:tab w:val="clear" w:pos="8296"/>
            </w:tabs>
          </w:pPr>
          <w:r>
            <w:fldChar w:fldCharType="begin"/>
          </w:r>
          <w:r>
            <w:instrText xml:space="preserve"> HYPERLINK \l _Toc31894 </w:instrText>
          </w:r>
          <w:r>
            <w:fldChar w:fldCharType="separate"/>
          </w:r>
          <w:r>
            <w:rPr>
              <w:rFonts w:hint="eastAsia" w:ascii="仿宋" w:hAnsi="仿宋" w:eastAsia="仿宋"/>
              <w:bCs w:val="0"/>
              <w:highlight w:val="none"/>
            </w:rPr>
            <w:t>四、</w:t>
          </w:r>
          <w:r>
            <w:rPr>
              <w:rFonts w:hint="eastAsia" w:ascii="仿宋" w:hAnsi="仿宋" w:eastAsia="仿宋"/>
              <w:highlight w:val="none"/>
            </w:rPr>
            <w:t>财</w:t>
          </w:r>
          <w:r>
            <w:rPr>
              <w:rFonts w:hint="eastAsia" w:ascii="仿宋" w:hAnsi="仿宋" w:eastAsia="仿宋"/>
              <w:bCs w:val="0"/>
              <w:highlight w:val="none"/>
            </w:rPr>
            <w:t>政拨款收入支出决算总表</w:t>
          </w:r>
          <w:r>
            <w:tab/>
          </w:r>
          <w:r>
            <w:fldChar w:fldCharType="begin"/>
          </w:r>
          <w:r>
            <w:instrText xml:space="preserve"> PAGEREF _Toc31894 \h </w:instrText>
          </w:r>
          <w:r>
            <w:fldChar w:fldCharType="separate"/>
          </w:r>
          <w:r>
            <w:t>27</w:t>
          </w:r>
          <w:r>
            <w:fldChar w:fldCharType="end"/>
          </w:r>
          <w:r>
            <w:fldChar w:fldCharType="end"/>
          </w:r>
        </w:p>
        <w:p>
          <w:pPr>
            <w:pStyle w:val="13"/>
            <w:tabs>
              <w:tab w:val="right" w:leader="dot" w:pos="8306"/>
              <w:tab w:val="clear" w:pos="8296"/>
            </w:tabs>
          </w:pPr>
          <w:r>
            <w:fldChar w:fldCharType="begin"/>
          </w:r>
          <w:r>
            <w:instrText xml:space="preserve"> HYPERLINK \l _Toc10990 </w:instrText>
          </w:r>
          <w:r>
            <w:fldChar w:fldCharType="separate"/>
          </w:r>
          <w:r>
            <w:rPr>
              <w:rFonts w:hint="eastAsia" w:ascii="仿宋" w:hAnsi="仿宋" w:eastAsia="仿宋"/>
              <w:bCs w:val="0"/>
              <w:highlight w:val="none"/>
            </w:rPr>
            <w:t>五、</w:t>
          </w:r>
          <w:r>
            <w:rPr>
              <w:rFonts w:hint="eastAsia" w:ascii="仿宋" w:hAnsi="仿宋" w:eastAsia="仿宋"/>
              <w:highlight w:val="none"/>
            </w:rPr>
            <w:t>财</w:t>
          </w:r>
          <w:r>
            <w:rPr>
              <w:rFonts w:hint="eastAsia" w:ascii="仿宋" w:hAnsi="仿宋" w:eastAsia="仿宋"/>
              <w:bCs w:val="0"/>
              <w:highlight w:val="none"/>
            </w:rPr>
            <w:t>政拨款支出决算明细表</w:t>
          </w:r>
          <w:r>
            <w:tab/>
          </w:r>
          <w:r>
            <w:fldChar w:fldCharType="begin"/>
          </w:r>
          <w:r>
            <w:instrText xml:space="preserve"> PAGEREF _Toc10990 \h </w:instrText>
          </w:r>
          <w:r>
            <w:fldChar w:fldCharType="separate"/>
          </w:r>
          <w:r>
            <w:t>27</w:t>
          </w:r>
          <w:r>
            <w:fldChar w:fldCharType="end"/>
          </w:r>
          <w:r>
            <w:fldChar w:fldCharType="end"/>
          </w:r>
        </w:p>
        <w:p>
          <w:pPr>
            <w:pStyle w:val="13"/>
            <w:tabs>
              <w:tab w:val="right" w:leader="dot" w:pos="8306"/>
              <w:tab w:val="clear" w:pos="8296"/>
            </w:tabs>
          </w:pPr>
          <w:r>
            <w:fldChar w:fldCharType="begin"/>
          </w:r>
          <w:r>
            <w:instrText xml:space="preserve"> HYPERLINK \l _Toc19646 </w:instrText>
          </w:r>
          <w:r>
            <w:fldChar w:fldCharType="separate"/>
          </w:r>
          <w:r>
            <w:rPr>
              <w:rFonts w:hint="eastAsia" w:ascii="仿宋" w:hAnsi="仿宋" w:eastAsia="仿宋"/>
              <w:bCs w:val="0"/>
              <w:highlight w:val="none"/>
            </w:rPr>
            <w:t>六、</w:t>
          </w:r>
          <w:r>
            <w:rPr>
              <w:rFonts w:hint="eastAsia" w:ascii="仿宋" w:hAnsi="仿宋" w:eastAsia="仿宋"/>
              <w:highlight w:val="none"/>
            </w:rPr>
            <w:t>一</w:t>
          </w:r>
          <w:r>
            <w:rPr>
              <w:rFonts w:hint="eastAsia" w:ascii="仿宋" w:hAnsi="仿宋" w:eastAsia="仿宋"/>
              <w:bCs w:val="0"/>
              <w:highlight w:val="none"/>
            </w:rPr>
            <w:t>般公共预算财政拨款支出决算表</w:t>
          </w:r>
          <w:r>
            <w:tab/>
          </w:r>
          <w:r>
            <w:fldChar w:fldCharType="begin"/>
          </w:r>
          <w:r>
            <w:instrText xml:space="preserve"> PAGEREF _Toc19646 \h </w:instrText>
          </w:r>
          <w:r>
            <w:fldChar w:fldCharType="separate"/>
          </w:r>
          <w:r>
            <w:t>27</w:t>
          </w:r>
          <w:r>
            <w:fldChar w:fldCharType="end"/>
          </w:r>
          <w:r>
            <w:fldChar w:fldCharType="end"/>
          </w:r>
        </w:p>
        <w:p>
          <w:pPr>
            <w:pStyle w:val="13"/>
            <w:tabs>
              <w:tab w:val="right" w:leader="dot" w:pos="8306"/>
              <w:tab w:val="clear" w:pos="8296"/>
            </w:tabs>
          </w:pPr>
          <w:r>
            <w:fldChar w:fldCharType="begin"/>
          </w:r>
          <w:r>
            <w:instrText xml:space="preserve"> HYPERLINK \l _Toc18611 </w:instrText>
          </w:r>
          <w:r>
            <w:fldChar w:fldCharType="separate"/>
          </w:r>
          <w:r>
            <w:rPr>
              <w:rFonts w:hint="eastAsia" w:ascii="仿宋" w:hAnsi="仿宋" w:eastAsia="仿宋"/>
              <w:bCs w:val="0"/>
              <w:highlight w:val="none"/>
            </w:rPr>
            <w:t>七、</w:t>
          </w:r>
          <w:r>
            <w:rPr>
              <w:rFonts w:hint="eastAsia" w:ascii="仿宋" w:hAnsi="仿宋" w:eastAsia="仿宋"/>
              <w:highlight w:val="none"/>
            </w:rPr>
            <w:t>一</w:t>
          </w:r>
          <w:r>
            <w:rPr>
              <w:rFonts w:hint="eastAsia" w:ascii="仿宋" w:hAnsi="仿宋" w:eastAsia="仿宋"/>
              <w:bCs w:val="0"/>
              <w:highlight w:val="none"/>
            </w:rPr>
            <w:t>般公共预算财政拨款支出决算明细表</w:t>
          </w:r>
          <w:r>
            <w:tab/>
          </w:r>
          <w:r>
            <w:fldChar w:fldCharType="begin"/>
          </w:r>
          <w:r>
            <w:instrText xml:space="preserve"> PAGEREF _Toc18611 \h </w:instrText>
          </w:r>
          <w:r>
            <w:fldChar w:fldCharType="separate"/>
          </w:r>
          <w:r>
            <w:t>27</w:t>
          </w:r>
          <w:r>
            <w:fldChar w:fldCharType="end"/>
          </w:r>
          <w:r>
            <w:fldChar w:fldCharType="end"/>
          </w:r>
        </w:p>
        <w:p>
          <w:pPr>
            <w:pStyle w:val="13"/>
            <w:tabs>
              <w:tab w:val="right" w:leader="dot" w:pos="8306"/>
              <w:tab w:val="clear" w:pos="8296"/>
            </w:tabs>
          </w:pPr>
          <w:r>
            <w:fldChar w:fldCharType="begin"/>
          </w:r>
          <w:r>
            <w:instrText xml:space="preserve"> HYPERLINK \l _Toc14550 </w:instrText>
          </w:r>
          <w:r>
            <w:fldChar w:fldCharType="separate"/>
          </w:r>
          <w:r>
            <w:rPr>
              <w:rFonts w:hint="eastAsia" w:ascii="仿宋" w:hAnsi="仿宋" w:eastAsia="仿宋"/>
              <w:bCs w:val="0"/>
              <w:highlight w:val="none"/>
            </w:rPr>
            <w:t>八、</w:t>
          </w:r>
          <w:r>
            <w:rPr>
              <w:rFonts w:hint="eastAsia" w:ascii="仿宋" w:hAnsi="仿宋" w:eastAsia="仿宋"/>
              <w:highlight w:val="none"/>
            </w:rPr>
            <w:t>一</w:t>
          </w:r>
          <w:r>
            <w:rPr>
              <w:rFonts w:hint="eastAsia" w:ascii="仿宋" w:hAnsi="仿宋" w:eastAsia="仿宋"/>
              <w:bCs w:val="0"/>
              <w:highlight w:val="none"/>
            </w:rPr>
            <w:t>般公共预算财政拨款基本支出决算表</w:t>
          </w:r>
          <w:r>
            <w:tab/>
          </w:r>
          <w:r>
            <w:fldChar w:fldCharType="begin"/>
          </w:r>
          <w:r>
            <w:instrText xml:space="preserve"> PAGEREF _Toc14550 \h </w:instrText>
          </w:r>
          <w:r>
            <w:fldChar w:fldCharType="separate"/>
          </w:r>
          <w:r>
            <w:t>27</w:t>
          </w:r>
          <w:r>
            <w:fldChar w:fldCharType="end"/>
          </w:r>
          <w:r>
            <w:fldChar w:fldCharType="end"/>
          </w:r>
        </w:p>
        <w:p>
          <w:pPr>
            <w:pStyle w:val="13"/>
            <w:tabs>
              <w:tab w:val="right" w:leader="dot" w:pos="8306"/>
              <w:tab w:val="clear" w:pos="8296"/>
            </w:tabs>
          </w:pPr>
          <w:r>
            <w:fldChar w:fldCharType="begin"/>
          </w:r>
          <w:r>
            <w:instrText xml:space="preserve"> HYPERLINK \l _Toc25557 </w:instrText>
          </w:r>
          <w:r>
            <w:fldChar w:fldCharType="separate"/>
          </w:r>
          <w:r>
            <w:rPr>
              <w:rFonts w:hint="eastAsia" w:ascii="仿宋" w:hAnsi="仿宋" w:eastAsia="仿宋"/>
              <w:bCs w:val="0"/>
              <w:highlight w:val="none"/>
            </w:rPr>
            <w:t>九、</w:t>
          </w:r>
          <w:r>
            <w:rPr>
              <w:rFonts w:hint="eastAsia" w:ascii="仿宋" w:hAnsi="仿宋" w:eastAsia="仿宋"/>
              <w:highlight w:val="none"/>
            </w:rPr>
            <w:t>一</w:t>
          </w:r>
          <w:r>
            <w:rPr>
              <w:rFonts w:hint="eastAsia" w:ascii="仿宋" w:hAnsi="仿宋" w:eastAsia="仿宋"/>
              <w:bCs w:val="0"/>
              <w:highlight w:val="none"/>
            </w:rPr>
            <w:t>般公共预算财政拨款项目支出决算表</w:t>
          </w:r>
          <w:r>
            <w:tab/>
          </w:r>
          <w:r>
            <w:fldChar w:fldCharType="begin"/>
          </w:r>
          <w:r>
            <w:instrText xml:space="preserve"> PAGEREF _Toc25557 \h </w:instrText>
          </w:r>
          <w:r>
            <w:fldChar w:fldCharType="separate"/>
          </w:r>
          <w:r>
            <w:t>27</w:t>
          </w:r>
          <w:r>
            <w:fldChar w:fldCharType="end"/>
          </w:r>
          <w:r>
            <w:fldChar w:fldCharType="end"/>
          </w:r>
        </w:p>
        <w:p>
          <w:pPr>
            <w:pStyle w:val="13"/>
            <w:tabs>
              <w:tab w:val="right" w:leader="dot" w:pos="8306"/>
              <w:tab w:val="clear" w:pos="8296"/>
            </w:tabs>
          </w:pPr>
          <w:r>
            <w:fldChar w:fldCharType="begin"/>
          </w:r>
          <w:r>
            <w:instrText xml:space="preserve"> HYPERLINK \l _Toc14931 </w:instrText>
          </w:r>
          <w:r>
            <w:fldChar w:fldCharType="separate"/>
          </w:r>
          <w:r>
            <w:rPr>
              <w:rFonts w:hint="eastAsia" w:ascii="仿宋" w:hAnsi="仿宋" w:eastAsia="仿宋"/>
              <w:bCs w:val="0"/>
              <w:highlight w:val="none"/>
            </w:rPr>
            <w:t>十、</w:t>
          </w:r>
          <w:r>
            <w:rPr>
              <w:rFonts w:hint="eastAsia" w:ascii="仿宋" w:hAnsi="仿宋" w:eastAsia="仿宋"/>
              <w:highlight w:val="none"/>
            </w:rPr>
            <w:t>政</w:t>
          </w:r>
          <w:r>
            <w:rPr>
              <w:rFonts w:hint="eastAsia" w:ascii="仿宋" w:hAnsi="仿宋" w:eastAsia="仿宋"/>
              <w:bCs w:val="0"/>
              <w:highlight w:val="none"/>
            </w:rPr>
            <w:t>府性基金预算财政拨款收入支出决算表</w:t>
          </w:r>
          <w:r>
            <w:tab/>
          </w:r>
          <w:r>
            <w:fldChar w:fldCharType="begin"/>
          </w:r>
          <w:r>
            <w:instrText xml:space="preserve"> PAGEREF _Toc14931 \h </w:instrText>
          </w:r>
          <w:r>
            <w:fldChar w:fldCharType="separate"/>
          </w:r>
          <w:r>
            <w:t>27</w:t>
          </w:r>
          <w:r>
            <w:fldChar w:fldCharType="end"/>
          </w:r>
          <w:r>
            <w:fldChar w:fldCharType="end"/>
          </w:r>
        </w:p>
        <w:p>
          <w:pPr>
            <w:pStyle w:val="13"/>
            <w:tabs>
              <w:tab w:val="right" w:leader="dot" w:pos="8306"/>
              <w:tab w:val="clear" w:pos="8296"/>
            </w:tabs>
          </w:pPr>
          <w:r>
            <w:fldChar w:fldCharType="begin"/>
          </w:r>
          <w:r>
            <w:instrText xml:space="preserve"> HYPERLINK \l _Toc4949 </w:instrText>
          </w:r>
          <w:r>
            <w:fldChar w:fldCharType="separate"/>
          </w:r>
          <w:r>
            <w:rPr>
              <w:rFonts w:hint="eastAsia" w:ascii="仿宋" w:hAnsi="仿宋" w:eastAsia="仿宋"/>
              <w:bCs w:val="0"/>
              <w:highlight w:val="none"/>
            </w:rPr>
            <w:t>十一、</w:t>
          </w:r>
          <w:r>
            <w:rPr>
              <w:rFonts w:hint="eastAsia" w:ascii="仿宋" w:hAnsi="仿宋" w:eastAsia="仿宋"/>
              <w:highlight w:val="none"/>
            </w:rPr>
            <w:t>国</w:t>
          </w:r>
          <w:r>
            <w:rPr>
              <w:rFonts w:hint="eastAsia" w:ascii="仿宋" w:hAnsi="仿宋" w:eastAsia="仿宋"/>
              <w:bCs w:val="0"/>
              <w:highlight w:val="none"/>
            </w:rPr>
            <w:t>有资本经营预算</w:t>
          </w:r>
          <w:r>
            <w:rPr>
              <w:rFonts w:hint="eastAsia" w:ascii="仿宋" w:hAnsi="仿宋" w:eastAsia="仿宋"/>
              <w:bCs w:val="0"/>
              <w:highlight w:val="none"/>
              <w:lang w:eastAsia="zh-CN"/>
            </w:rPr>
            <w:t>财政拨款收入</w:t>
          </w:r>
          <w:r>
            <w:rPr>
              <w:rFonts w:hint="eastAsia" w:ascii="仿宋" w:hAnsi="仿宋" w:eastAsia="仿宋"/>
              <w:bCs w:val="0"/>
              <w:highlight w:val="none"/>
            </w:rPr>
            <w:t>支出决算表</w:t>
          </w:r>
          <w:r>
            <w:tab/>
          </w:r>
          <w:r>
            <w:fldChar w:fldCharType="begin"/>
          </w:r>
          <w:r>
            <w:instrText xml:space="preserve"> PAGEREF _Toc4949 \h </w:instrText>
          </w:r>
          <w:r>
            <w:fldChar w:fldCharType="separate"/>
          </w:r>
          <w:r>
            <w:t>27</w:t>
          </w:r>
          <w:r>
            <w:fldChar w:fldCharType="end"/>
          </w:r>
          <w:r>
            <w:fldChar w:fldCharType="end"/>
          </w:r>
        </w:p>
        <w:p>
          <w:pPr>
            <w:pStyle w:val="13"/>
            <w:tabs>
              <w:tab w:val="right" w:leader="dot" w:pos="8306"/>
              <w:tab w:val="clear" w:pos="8296"/>
            </w:tabs>
          </w:pPr>
          <w:r>
            <w:fldChar w:fldCharType="begin"/>
          </w:r>
          <w:r>
            <w:instrText xml:space="preserve"> HYPERLINK \l _Toc2571 </w:instrText>
          </w:r>
          <w:r>
            <w:fldChar w:fldCharType="separate"/>
          </w:r>
          <w:r>
            <w:rPr>
              <w:rFonts w:hint="eastAsia" w:ascii="仿宋" w:hAnsi="仿宋" w:eastAsia="仿宋"/>
              <w:bCs w:val="0"/>
              <w:highlight w:val="none"/>
            </w:rPr>
            <w:t>十二、</w:t>
          </w:r>
          <w:r>
            <w:rPr>
              <w:rFonts w:hint="eastAsia" w:ascii="仿宋" w:hAnsi="仿宋" w:eastAsia="仿宋"/>
              <w:bCs w:val="0"/>
              <w:highlight w:val="none"/>
              <w:lang w:eastAsia="zh-CN"/>
            </w:rPr>
            <w:t>国有资本经营预算财政拨款支出决算表</w:t>
          </w:r>
          <w:r>
            <w:tab/>
          </w:r>
          <w:r>
            <w:fldChar w:fldCharType="begin"/>
          </w:r>
          <w:r>
            <w:instrText xml:space="preserve"> PAGEREF _Toc2571 \h </w:instrText>
          </w:r>
          <w:r>
            <w:fldChar w:fldCharType="separate"/>
          </w:r>
          <w:r>
            <w:t>27</w:t>
          </w:r>
          <w:r>
            <w:fldChar w:fldCharType="end"/>
          </w:r>
          <w:r>
            <w:fldChar w:fldCharType="end"/>
          </w:r>
        </w:p>
        <w:p>
          <w:pPr>
            <w:pStyle w:val="13"/>
            <w:tabs>
              <w:tab w:val="right" w:leader="dot" w:pos="8306"/>
              <w:tab w:val="clear" w:pos="8296"/>
            </w:tabs>
          </w:pPr>
          <w:r>
            <w:fldChar w:fldCharType="begin"/>
          </w:r>
          <w:r>
            <w:instrText xml:space="preserve"> HYPERLINK \l _Toc6951 </w:instrText>
          </w:r>
          <w:r>
            <w:fldChar w:fldCharType="separate"/>
          </w:r>
          <w:r>
            <w:rPr>
              <w:rFonts w:hint="eastAsia" w:ascii="仿宋" w:hAnsi="仿宋" w:eastAsia="仿宋"/>
              <w:bCs w:val="0"/>
              <w:highlight w:val="none"/>
            </w:rPr>
            <w:t>十三、</w:t>
          </w:r>
          <w:r>
            <w:rPr>
              <w:rFonts w:hint="eastAsia" w:ascii="仿宋" w:hAnsi="仿宋" w:eastAsia="仿宋"/>
              <w:bCs w:val="0"/>
              <w:highlight w:val="none"/>
              <w:lang w:eastAsia="zh-CN"/>
            </w:rPr>
            <w:t>财政拨款“三公”经费支出决算表</w:t>
          </w:r>
          <w:r>
            <w:tab/>
          </w:r>
          <w:r>
            <w:fldChar w:fldCharType="begin"/>
          </w:r>
          <w:r>
            <w:instrText xml:space="preserve"> PAGEREF _Toc6951 \h </w:instrText>
          </w:r>
          <w:r>
            <w:fldChar w:fldCharType="separate"/>
          </w:r>
          <w:r>
            <w:t>27</w:t>
          </w:r>
          <w:r>
            <w:fldChar w:fldCharType="end"/>
          </w:r>
          <w:r>
            <w:fldChar w:fldCharType="end"/>
          </w:r>
        </w:p>
        <w:p>
          <w:r>
            <w:fldChar w:fldCharType="end"/>
          </w:r>
        </w:p>
      </w:sdtContent>
    </w:sdt>
    <w:p>
      <w:pPr>
        <w:pStyle w:val="3"/>
        <w:jc w:val="center"/>
        <w:rPr>
          <w:rFonts w:hint="eastAsia" w:ascii="黑体" w:hAnsi="黑体" w:eastAsia="黑体"/>
          <w:b w:val="0"/>
          <w:color w:val="auto"/>
          <w:highlight w:val="none"/>
        </w:rPr>
        <w:sectPr>
          <w:footerReference r:id="rId6" w:type="first"/>
          <w:footerReference r:id="rId5" w:type="default"/>
          <w:pgSz w:w="11906" w:h="16838"/>
          <w:pgMar w:top="1440" w:right="1800" w:bottom="1440" w:left="1800" w:header="851" w:footer="992" w:gutter="0"/>
          <w:pgNumType w:fmt="decimal" w:start="1"/>
          <w:cols w:space="425" w:num="1"/>
          <w:titlePg/>
          <w:docGrid w:type="lines" w:linePitch="312" w:charSpace="0"/>
        </w:sectPr>
      </w:pPr>
    </w:p>
    <w:p>
      <w:pPr>
        <w:pStyle w:val="3"/>
        <w:jc w:val="center"/>
        <w:rPr>
          <w:rStyle w:val="20"/>
          <w:rFonts w:ascii="黑体" w:hAnsi="黑体" w:eastAsia="黑体"/>
          <w:b/>
          <w:bCs w:val="0"/>
          <w:color w:val="auto"/>
          <w:highlight w:val="none"/>
        </w:rPr>
      </w:pPr>
      <w:bookmarkStart w:id="22" w:name="_Toc15759"/>
      <w:r>
        <w:rPr>
          <w:rFonts w:hint="eastAsia" w:ascii="黑体" w:hAnsi="黑体" w:eastAsia="黑体"/>
          <w:b w:val="0"/>
          <w:color w:val="auto"/>
          <w:highlight w:val="none"/>
        </w:rPr>
        <w:t>第一部分</w:t>
      </w:r>
      <w:r>
        <w:rPr>
          <w:rFonts w:hint="eastAsia" w:ascii="黑体" w:hAnsi="黑体" w:eastAsia="黑体"/>
          <w:b w:val="0"/>
          <w:color w:val="auto"/>
          <w:highlight w:val="none"/>
          <w:lang w:eastAsia="zh-CN"/>
        </w:rPr>
        <w:t>单位</w:t>
      </w:r>
      <w:r>
        <w:rPr>
          <w:rStyle w:val="20"/>
          <w:rFonts w:hint="eastAsia" w:ascii="黑体" w:hAnsi="黑体" w:eastAsia="黑体"/>
          <w:b w:val="0"/>
          <w:bCs w:val="0"/>
          <w:color w:val="auto"/>
          <w:highlight w:val="none"/>
        </w:rPr>
        <w:t>概况</w:t>
      </w:r>
      <w:bookmarkEnd w:id="20"/>
      <w:bookmarkEnd w:id="21"/>
      <w:bookmarkEnd w:id="22"/>
    </w:p>
    <w:p>
      <w:pPr>
        <w:widowControl/>
        <w:jc w:val="left"/>
        <w:rPr>
          <w:rFonts w:ascii="黑体" w:eastAsia="黑体"/>
          <w:color w:val="auto"/>
          <w:sz w:val="32"/>
          <w:szCs w:val="32"/>
          <w:highlight w:val="none"/>
        </w:rPr>
      </w:pPr>
    </w:p>
    <w:p>
      <w:pPr>
        <w:pStyle w:val="4"/>
        <w:numPr>
          <w:ilvl w:val="0"/>
          <w:numId w:val="1"/>
        </w:numPr>
        <w:rPr>
          <w:rStyle w:val="21"/>
          <w:rFonts w:hint="eastAsia" w:ascii="黑体" w:hAnsi="黑体" w:eastAsia="黑体"/>
          <w:b w:val="0"/>
          <w:bCs w:val="0"/>
          <w:color w:val="auto"/>
          <w:highlight w:val="none"/>
          <w:lang w:eastAsia="zh-CN"/>
        </w:rPr>
      </w:pPr>
      <w:bookmarkStart w:id="23" w:name="_Toc23957"/>
      <w:bookmarkStart w:id="24" w:name="_Toc15377197"/>
      <w:bookmarkStart w:id="25" w:name="_Toc15396600"/>
      <w:r>
        <w:rPr>
          <w:rStyle w:val="21"/>
          <w:rFonts w:hint="eastAsia" w:ascii="黑体" w:hAnsi="黑体" w:eastAsia="黑体"/>
          <w:b w:val="0"/>
          <w:bCs w:val="0"/>
          <w:color w:val="auto"/>
          <w:highlight w:val="none"/>
          <w:lang w:eastAsia="zh-CN"/>
        </w:rPr>
        <w:t>主要职责</w:t>
      </w:r>
      <w:bookmarkEnd w:id="23"/>
    </w:p>
    <w:p>
      <w:pPr>
        <w:pStyle w:val="2"/>
        <w:keepNext w:val="0"/>
        <w:keepLines w:val="0"/>
        <w:pageBreakBefore w:val="0"/>
        <w:widowControl w:val="0"/>
        <w:kinsoku/>
        <w:wordWrap/>
        <w:overflowPunct/>
        <w:topLinePunct w:val="0"/>
        <w:autoSpaceDE/>
        <w:autoSpaceDN/>
        <w:bidi w:val="0"/>
        <w:adjustRightInd w:val="0"/>
        <w:snapToGrid w:val="0"/>
        <w:spacing w:before="93" w:line="560" w:lineRule="exact"/>
        <w:ind w:firstLine="640" w:firstLineChars="200"/>
        <w:textAlignment w:val="auto"/>
        <w:outlineLvl w:val="3"/>
        <w:rPr>
          <w:rFonts w:hint="eastAsia" w:ascii="仿宋" w:hAnsi="仿宋" w:eastAsia="仿宋"/>
          <w:bCs/>
          <w:color w:val="000000"/>
          <w:sz w:val="32"/>
          <w:szCs w:val="32"/>
        </w:rPr>
      </w:pPr>
      <w:r>
        <w:rPr>
          <w:rFonts w:hint="eastAsia" w:ascii="仿宋" w:hAnsi="仿宋" w:eastAsia="仿宋"/>
          <w:bCs/>
          <w:color w:val="000000"/>
          <w:sz w:val="32"/>
          <w:szCs w:val="32"/>
        </w:rPr>
        <w:t>主要负责宣传贯彻人才和就业工作方针、政策和法规，提供公共人才和就业服务。</w:t>
      </w:r>
    </w:p>
    <w:p>
      <w:pPr>
        <w:pStyle w:val="2"/>
        <w:keepNext w:val="0"/>
        <w:keepLines w:val="0"/>
        <w:pageBreakBefore w:val="0"/>
        <w:widowControl w:val="0"/>
        <w:kinsoku/>
        <w:wordWrap/>
        <w:overflowPunct/>
        <w:topLinePunct w:val="0"/>
        <w:autoSpaceDE/>
        <w:autoSpaceDN/>
        <w:bidi w:val="0"/>
        <w:adjustRightInd w:val="0"/>
        <w:snapToGrid w:val="0"/>
        <w:spacing w:before="93" w:line="560" w:lineRule="exact"/>
        <w:ind w:firstLine="640" w:firstLineChars="200"/>
        <w:textAlignment w:val="auto"/>
        <w:outlineLvl w:val="3"/>
        <w:rPr>
          <w:rFonts w:hint="eastAsia" w:ascii="仿宋" w:hAnsi="仿宋" w:eastAsia="仿宋"/>
          <w:bCs/>
          <w:color w:val="000000"/>
          <w:sz w:val="32"/>
          <w:szCs w:val="32"/>
          <w:lang w:eastAsia="zh-CN"/>
        </w:rPr>
      </w:pPr>
      <w:r>
        <w:rPr>
          <w:rFonts w:hint="eastAsia" w:ascii="仿宋" w:hAnsi="仿宋" w:eastAsia="仿宋"/>
          <w:bCs/>
          <w:color w:val="000000"/>
          <w:sz w:val="32"/>
          <w:szCs w:val="32"/>
        </w:rPr>
        <w:t>1.负责高校毕业生和流动人员人事档案接收、管理；</w:t>
      </w:r>
    </w:p>
    <w:p>
      <w:pPr>
        <w:pStyle w:val="2"/>
        <w:keepNext w:val="0"/>
        <w:keepLines w:val="0"/>
        <w:pageBreakBefore w:val="0"/>
        <w:widowControl w:val="0"/>
        <w:kinsoku/>
        <w:wordWrap/>
        <w:overflowPunct/>
        <w:topLinePunct w:val="0"/>
        <w:autoSpaceDE/>
        <w:autoSpaceDN/>
        <w:bidi w:val="0"/>
        <w:adjustRightInd w:val="0"/>
        <w:snapToGrid w:val="0"/>
        <w:spacing w:before="93" w:line="560" w:lineRule="exact"/>
        <w:ind w:firstLine="640" w:firstLineChars="200"/>
        <w:textAlignment w:val="auto"/>
        <w:outlineLvl w:val="3"/>
        <w:rPr>
          <w:rFonts w:hint="eastAsia" w:ascii="仿宋" w:hAnsi="仿宋" w:eastAsia="仿宋"/>
          <w:bCs/>
          <w:color w:val="000000"/>
          <w:sz w:val="32"/>
          <w:szCs w:val="32"/>
          <w:lang w:eastAsia="zh-CN"/>
        </w:rPr>
      </w:pPr>
      <w:r>
        <w:rPr>
          <w:rFonts w:hint="eastAsia" w:ascii="仿宋" w:hAnsi="仿宋" w:eastAsia="仿宋"/>
          <w:bCs/>
          <w:color w:val="000000"/>
          <w:sz w:val="32"/>
          <w:szCs w:val="32"/>
        </w:rPr>
        <w:t>2.负责流动人员人事档案信息化和网上业务平台的建设工作；</w:t>
      </w:r>
    </w:p>
    <w:p>
      <w:pPr>
        <w:pStyle w:val="2"/>
        <w:keepNext w:val="0"/>
        <w:keepLines w:val="0"/>
        <w:pageBreakBefore w:val="0"/>
        <w:widowControl w:val="0"/>
        <w:kinsoku/>
        <w:wordWrap/>
        <w:overflowPunct/>
        <w:topLinePunct w:val="0"/>
        <w:autoSpaceDE/>
        <w:autoSpaceDN/>
        <w:bidi w:val="0"/>
        <w:adjustRightInd w:val="0"/>
        <w:snapToGrid w:val="0"/>
        <w:spacing w:before="93" w:line="560" w:lineRule="exact"/>
        <w:ind w:firstLine="640" w:firstLineChars="200"/>
        <w:textAlignment w:val="auto"/>
        <w:outlineLvl w:val="3"/>
        <w:rPr>
          <w:rFonts w:hint="eastAsia" w:ascii="仿宋" w:hAnsi="仿宋" w:eastAsia="仿宋"/>
          <w:bCs/>
          <w:color w:val="000000"/>
          <w:sz w:val="32"/>
          <w:szCs w:val="32"/>
        </w:rPr>
      </w:pPr>
      <w:r>
        <w:rPr>
          <w:rFonts w:hint="eastAsia" w:ascii="仿宋" w:hAnsi="仿宋" w:eastAsia="仿宋"/>
          <w:bCs/>
          <w:color w:val="000000"/>
          <w:sz w:val="32"/>
          <w:szCs w:val="32"/>
        </w:rPr>
        <w:t>3.负责高校毕业生创业就业指导和就业服务管理工作；</w:t>
      </w:r>
    </w:p>
    <w:p>
      <w:pPr>
        <w:pStyle w:val="2"/>
        <w:keepNext w:val="0"/>
        <w:keepLines w:val="0"/>
        <w:pageBreakBefore w:val="0"/>
        <w:widowControl w:val="0"/>
        <w:kinsoku/>
        <w:wordWrap/>
        <w:overflowPunct/>
        <w:topLinePunct w:val="0"/>
        <w:autoSpaceDE/>
        <w:autoSpaceDN/>
        <w:bidi w:val="0"/>
        <w:adjustRightInd w:val="0"/>
        <w:snapToGrid w:val="0"/>
        <w:spacing w:before="93" w:line="560" w:lineRule="exact"/>
        <w:ind w:firstLine="640" w:firstLineChars="200"/>
        <w:textAlignment w:val="auto"/>
        <w:outlineLvl w:val="3"/>
        <w:rPr>
          <w:rFonts w:hint="eastAsia" w:ascii="仿宋" w:hAnsi="仿宋" w:eastAsia="仿宋"/>
          <w:bCs/>
          <w:color w:val="000000"/>
          <w:sz w:val="32"/>
          <w:szCs w:val="32"/>
        </w:rPr>
      </w:pPr>
      <w:r>
        <w:rPr>
          <w:rFonts w:hint="eastAsia" w:ascii="仿宋" w:hAnsi="仿宋" w:eastAsia="仿宋"/>
          <w:bCs/>
          <w:color w:val="000000"/>
          <w:sz w:val="32"/>
          <w:szCs w:val="32"/>
        </w:rPr>
        <w:t>4.开展现场和网上人才市场的培育、发展和管理；</w:t>
      </w:r>
    </w:p>
    <w:p>
      <w:pPr>
        <w:pStyle w:val="2"/>
        <w:keepNext w:val="0"/>
        <w:keepLines w:val="0"/>
        <w:pageBreakBefore w:val="0"/>
        <w:widowControl w:val="0"/>
        <w:kinsoku/>
        <w:wordWrap/>
        <w:overflowPunct/>
        <w:topLinePunct w:val="0"/>
        <w:autoSpaceDE/>
        <w:autoSpaceDN/>
        <w:bidi w:val="0"/>
        <w:adjustRightInd w:val="0"/>
        <w:snapToGrid w:val="0"/>
        <w:spacing w:before="93" w:line="560" w:lineRule="exact"/>
        <w:ind w:firstLine="640" w:firstLineChars="200"/>
        <w:textAlignment w:val="auto"/>
        <w:outlineLvl w:val="2"/>
        <w:rPr>
          <w:rFonts w:hint="eastAsia" w:ascii="仿宋" w:hAnsi="仿宋" w:eastAsia="仿宋"/>
          <w:bCs/>
          <w:color w:val="000000"/>
          <w:sz w:val="32"/>
          <w:szCs w:val="32"/>
        </w:rPr>
      </w:pPr>
      <w:bookmarkStart w:id="26" w:name="_Toc27591"/>
      <w:r>
        <w:rPr>
          <w:rFonts w:hint="eastAsia" w:ascii="仿宋" w:hAnsi="仿宋" w:eastAsia="仿宋"/>
          <w:bCs/>
          <w:color w:val="000000"/>
          <w:sz w:val="32"/>
          <w:szCs w:val="32"/>
        </w:rPr>
        <w:t>5.提供人才和劳动力资源供求信息，为各类人才提供就业服务、综合性职业介绍用工指导、就业政策咨询，组织举办公益性人才和就业招聘会；</w:t>
      </w:r>
      <w:bookmarkEnd w:id="26"/>
    </w:p>
    <w:p>
      <w:pPr>
        <w:pStyle w:val="2"/>
        <w:keepNext w:val="0"/>
        <w:keepLines w:val="0"/>
        <w:pageBreakBefore w:val="0"/>
        <w:widowControl w:val="0"/>
        <w:kinsoku/>
        <w:wordWrap/>
        <w:overflowPunct/>
        <w:topLinePunct w:val="0"/>
        <w:autoSpaceDE/>
        <w:autoSpaceDN/>
        <w:bidi w:val="0"/>
        <w:adjustRightInd w:val="0"/>
        <w:snapToGrid w:val="0"/>
        <w:spacing w:before="93" w:line="560" w:lineRule="exact"/>
        <w:ind w:firstLine="640" w:firstLineChars="200"/>
        <w:textAlignment w:val="auto"/>
        <w:outlineLvl w:val="3"/>
        <w:rPr>
          <w:rFonts w:hint="eastAsia" w:ascii="仿宋" w:hAnsi="仿宋" w:eastAsia="仿宋"/>
          <w:bCs/>
          <w:color w:val="000000"/>
          <w:sz w:val="32"/>
          <w:szCs w:val="32"/>
        </w:rPr>
      </w:pPr>
      <w:r>
        <w:rPr>
          <w:rFonts w:hint="eastAsia" w:ascii="仿宋" w:hAnsi="仿宋" w:eastAsia="仿宋"/>
          <w:bCs/>
          <w:color w:val="000000"/>
          <w:sz w:val="32"/>
          <w:szCs w:val="32"/>
        </w:rPr>
        <w:t>6.负责保障本级企业用工服务工作；</w:t>
      </w:r>
    </w:p>
    <w:p>
      <w:pPr>
        <w:pStyle w:val="2"/>
        <w:keepNext w:val="0"/>
        <w:keepLines w:val="0"/>
        <w:pageBreakBefore w:val="0"/>
        <w:widowControl w:val="0"/>
        <w:kinsoku/>
        <w:wordWrap/>
        <w:overflowPunct/>
        <w:topLinePunct w:val="0"/>
        <w:autoSpaceDE/>
        <w:autoSpaceDN/>
        <w:bidi w:val="0"/>
        <w:adjustRightInd w:val="0"/>
        <w:snapToGrid w:val="0"/>
        <w:spacing w:before="93" w:line="560" w:lineRule="exact"/>
        <w:ind w:firstLine="640" w:firstLineChars="200"/>
        <w:textAlignment w:val="auto"/>
        <w:outlineLvl w:val="3"/>
        <w:rPr>
          <w:rFonts w:hint="eastAsia" w:ascii="仿宋" w:hAnsi="仿宋" w:eastAsia="仿宋"/>
          <w:bCs/>
          <w:color w:val="000000"/>
          <w:sz w:val="32"/>
          <w:szCs w:val="32"/>
        </w:rPr>
      </w:pPr>
      <w:r>
        <w:rPr>
          <w:rFonts w:hint="eastAsia" w:ascii="仿宋" w:hAnsi="仿宋" w:eastAsia="仿宋"/>
          <w:bCs/>
          <w:color w:val="000000"/>
          <w:sz w:val="32"/>
          <w:szCs w:val="32"/>
        </w:rPr>
        <w:t>7.承担本级非公经济组织等体制外专业技术人才职称申报、评审工作；</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bCs/>
          <w:color w:val="000000"/>
          <w:sz w:val="32"/>
          <w:szCs w:val="32"/>
        </w:rPr>
      </w:pPr>
      <w:r>
        <w:rPr>
          <w:rFonts w:hint="eastAsia" w:ascii="仿宋" w:hAnsi="仿宋" w:eastAsia="仿宋"/>
          <w:bCs/>
          <w:color w:val="000000"/>
          <w:sz w:val="32"/>
          <w:szCs w:val="32"/>
        </w:rPr>
        <w:t>8.承办上级交办的其它工作。</w:t>
      </w:r>
    </w:p>
    <w:p>
      <w:pPr>
        <w:ind w:firstLine="640" w:firstLineChars="200"/>
        <w:rPr>
          <w:rStyle w:val="21"/>
          <w:rFonts w:hint="eastAsia" w:ascii="黑体" w:hAnsi="黑体" w:eastAsia="黑体"/>
          <w:b w:val="0"/>
          <w:color w:val="auto"/>
          <w:highlight w:val="none"/>
          <w:lang w:val="en-US" w:eastAsia="zh-CN" w:bidi="ar-SA"/>
        </w:rPr>
      </w:pPr>
      <w:bookmarkStart w:id="27" w:name="_Toc16536"/>
      <w:r>
        <w:rPr>
          <w:rStyle w:val="21"/>
          <w:rFonts w:hint="eastAsia" w:ascii="黑体" w:hAnsi="黑体" w:eastAsia="黑体"/>
          <w:b w:val="0"/>
          <w:color w:val="auto"/>
          <w:highlight w:val="none"/>
          <w:lang w:val="en-US" w:eastAsia="zh-CN" w:bidi="ar-SA"/>
        </w:rPr>
        <w:t>二、机构设置</w:t>
      </w:r>
    </w:p>
    <w:bookmarkEnd w:id="27"/>
    <w:p>
      <w:pPr>
        <w:ind w:firstLine="640" w:firstLineChars="200"/>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广元市人才交流中心，为市人力资源社会保障局管理的公益一类副县级事业单位，中心共设综合科、职业介绍服务科、人才流动科、档案信息科四个科室。</w:t>
      </w:r>
    </w:p>
    <w:bookmarkEnd w:id="24"/>
    <w:bookmarkEnd w:id="25"/>
    <w:p>
      <w:pPr>
        <w:pStyle w:val="3"/>
        <w:ind w:right="440"/>
        <w:jc w:val="center"/>
        <w:rPr>
          <w:rStyle w:val="20"/>
          <w:rFonts w:ascii="黑体" w:hAnsi="黑体" w:eastAsia="黑体"/>
          <w:b w:val="0"/>
          <w:bCs/>
          <w:color w:val="auto"/>
          <w:highlight w:val="none"/>
        </w:rPr>
      </w:pPr>
      <w:bookmarkStart w:id="28" w:name="_Toc15377204"/>
      <w:bookmarkStart w:id="29" w:name="_Toc15396602"/>
      <w:bookmarkStart w:id="30" w:name="_Toc1088"/>
      <w:r>
        <w:rPr>
          <w:rFonts w:hint="eastAsia" w:ascii="黑体" w:hAnsi="黑体" w:eastAsia="黑体"/>
          <w:b w:val="0"/>
          <w:bCs/>
          <w:color w:val="auto"/>
          <w:highlight w:val="none"/>
        </w:rPr>
        <w:t>第二部分</w:t>
      </w:r>
      <w:r>
        <w:rPr>
          <w:rFonts w:hint="eastAsia" w:ascii="黑体" w:hAnsi="黑体" w:eastAsia="黑体"/>
          <w:b w:val="0"/>
          <w:bCs/>
          <w:color w:val="auto"/>
          <w:highlight w:val="none"/>
          <w:lang w:val="en-US" w:eastAsia="zh-CN"/>
        </w:rPr>
        <w:t>2022年度</w:t>
      </w:r>
      <w:r>
        <w:rPr>
          <w:rStyle w:val="20"/>
          <w:rFonts w:hint="eastAsia" w:ascii="黑体" w:hAnsi="黑体" w:eastAsia="黑体"/>
          <w:b w:val="0"/>
          <w:bCs/>
          <w:color w:val="auto"/>
          <w:highlight w:val="none"/>
          <w:lang w:eastAsia="zh-CN"/>
        </w:rPr>
        <w:t>单位</w:t>
      </w:r>
      <w:r>
        <w:rPr>
          <w:rStyle w:val="20"/>
          <w:rFonts w:hint="eastAsia" w:ascii="黑体" w:hAnsi="黑体" w:eastAsia="黑体"/>
          <w:b w:val="0"/>
          <w:bCs/>
          <w:color w:val="auto"/>
          <w:highlight w:val="none"/>
        </w:rPr>
        <w:t>决算情况说明</w:t>
      </w:r>
      <w:bookmarkEnd w:id="28"/>
      <w:bookmarkEnd w:id="29"/>
      <w:bookmarkEnd w:id="30"/>
    </w:p>
    <w:p>
      <w:pPr>
        <w:pStyle w:val="30"/>
        <w:numPr>
          <w:ilvl w:val="0"/>
          <w:numId w:val="2"/>
        </w:numPr>
        <w:spacing w:line="600" w:lineRule="exact"/>
        <w:ind w:firstLineChars="0"/>
        <w:outlineLvl w:val="1"/>
        <w:rPr>
          <w:rStyle w:val="21"/>
          <w:rFonts w:ascii="黑体" w:hAnsi="黑体" w:eastAsia="黑体"/>
          <w:b w:val="0"/>
          <w:color w:val="auto"/>
          <w:highlight w:val="none"/>
        </w:rPr>
      </w:pPr>
      <w:bookmarkStart w:id="31" w:name="_Toc15396603"/>
      <w:bookmarkStart w:id="32" w:name="_Toc4449"/>
      <w:bookmarkStart w:id="33" w:name="_Toc15377205"/>
      <w:r>
        <w:rPr>
          <w:rFonts w:hint="eastAsia" w:ascii="黑体" w:hAnsi="黑体" w:eastAsia="黑体"/>
          <w:color w:val="auto"/>
          <w:sz w:val="32"/>
          <w:szCs w:val="32"/>
          <w:highlight w:val="none"/>
        </w:rPr>
        <w:t>收</w:t>
      </w:r>
      <w:r>
        <w:rPr>
          <w:rStyle w:val="21"/>
          <w:rFonts w:hint="eastAsia" w:ascii="黑体" w:hAnsi="黑体" w:eastAsia="黑体"/>
          <w:b w:val="0"/>
          <w:color w:val="auto"/>
          <w:highlight w:val="none"/>
        </w:rPr>
        <w:t>入支出决算总体情况说明</w:t>
      </w:r>
      <w:bookmarkEnd w:id="31"/>
      <w:bookmarkEnd w:id="32"/>
      <w:bookmarkEnd w:id="33"/>
    </w:p>
    <w:p>
      <w:pPr>
        <w:rPr>
          <w:color w:val="auto"/>
          <w:highlight w:val="none"/>
        </w:rPr>
      </w:pPr>
    </w:p>
    <w:p>
      <w:pPr>
        <w:spacing w:line="600" w:lineRule="exact"/>
        <w:ind w:firstLine="640" w:firstLineChars="200"/>
        <w:rPr>
          <w:rFonts w:hint="eastAsia" w:ascii="仿宋" w:hAnsi="仿宋" w:eastAsia="仿宋"/>
          <w:sz w:val="32"/>
          <w:szCs w:val="32"/>
          <w:highlight w:val="none"/>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年度收、支总计</w:t>
      </w:r>
      <w:r>
        <w:rPr>
          <w:rFonts w:hint="eastAsia" w:ascii="仿宋" w:hAnsi="仿宋" w:eastAsia="仿宋"/>
          <w:color w:val="auto"/>
          <w:sz w:val="32"/>
          <w:szCs w:val="32"/>
          <w:highlight w:val="none"/>
          <w:lang w:val="en-US" w:eastAsia="zh-CN"/>
        </w:rPr>
        <w:t>441.63</w:t>
      </w:r>
      <w:r>
        <w:rPr>
          <w:rFonts w:hint="eastAsia" w:ascii="仿宋" w:hAnsi="仿宋" w:eastAsia="仿宋"/>
          <w:color w:val="auto"/>
          <w:sz w:val="32"/>
          <w:szCs w:val="32"/>
          <w:highlight w:val="none"/>
        </w:rPr>
        <w:t>万元。与20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年相比，收、支总计各增加</w:t>
      </w:r>
      <w:r>
        <w:rPr>
          <w:rFonts w:hint="eastAsia" w:ascii="仿宋" w:hAnsi="仿宋" w:eastAsia="仿宋"/>
          <w:color w:val="auto"/>
          <w:sz w:val="32"/>
          <w:szCs w:val="32"/>
          <w:highlight w:val="none"/>
          <w:lang w:val="en-US" w:eastAsia="zh-CN"/>
        </w:rPr>
        <w:t>97.82</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28.45</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sz w:val="32"/>
          <w:szCs w:val="32"/>
          <w:highlight w:val="none"/>
        </w:rPr>
        <w:t>主要变动原因是2020年和2021年目标考核奖在2022年预算发放及项目经费增加。</w:t>
      </w:r>
    </w:p>
    <w:p>
      <w:pPr>
        <w:pStyle w:val="12"/>
        <w:jc w:val="center"/>
        <w:rPr>
          <w:rFonts w:hint="eastAsia"/>
          <w:lang w:eastAsia="zh-CN"/>
        </w:rPr>
      </w:pPr>
      <w:r>
        <w:rPr>
          <w:rFonts w:hint="eastAsia" w:ascii="仿宋" w:hAnsi="仿宋" w:eastAsia="仿宋"/>
          <w:color w:val="auto"/>
          <w:sz w:val="32"/>
          <w:szCs w:val="32"/>
          <w:highlight w:val="none"/>
        </w:rPr>
        <w:drawing>
          <wp:inline distT="0" distB="0" distL="114300" distR="114300">
            <wp:extent cx="3666490" cy="1798320"/>
            <wp:effectExtent l="4445" t="5080" r="5715" b="635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firstLineChars="200"/>
        <w:jc w:val="center"/>
        <w:rPr>
          <w:rFonts w:ascii="仿宋_GB2312" w:eastAsia="仿宋_GB2312"/>
          <w:color w:val="auto"/>
          <w:sz w:val="32"/>
          <w:szCs w:val="32"/>
          <w:highlight w:val="none"/>
        </w:rPr>
      </w:pP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w:t>
      </w:r>
    </w:p>
    <w:p>
      <w:pPr>
        <w:pStyle w:val="30"/>
        <w:numPr>
          <w:ilvl w:val="0"/>
          <w:numId w:val="2"/>
        </w:numPr>
        <w:spacing w:line="600" w:lineRule="exact"/>
        <w:ind w:firstLineChars="0"/>
        <w:outlineLvl w:val="1"/>
        <w:rPr>
          <w:rStyle w:val="21"/>
          <w:rFonts w:ascii="黑体" w:hAnsi="黑体" w:eastAsia="黑体"/>
          <w:b w:val="0"/>
          <w:color w:val="auto"/>
          <w:highlight w:val="none"/>
        </w:rPr>
      </w:pPr>
      <w:bookmarkStart w:id="34" w:name="_Toc15396604"/>
      <w:bookmarkStart w:id="35" w:name="_Toc15377206"/>
      <w:bookmarkStart w:id="36" w:name="_Toc18207"/>
      <w:r>
        <w:rPr>
          <w:rFonts w:hint="eastAsia" w:ascii="黑体" w:hAnsi="黑体" w:eastAsia="黑体"/>
          <w:color w:val="auto"/>
          <w:sz w:val="32"/>
          <w:szCs w:val="32"/>
          <w:highlight w:val="none"/>
        </w:rPr>
        <w:t>收</w:t>
      </w:r>
      <w:r>
        <w:rPr>
          <w:rStyle w:val="21"/>
          <w:rFonts w:hint="eastAsia" w:ascii="黑体" w:hAnsi="黑体" w:eastAsia="黑体"/>
          <w:b w:val="0"/>
          <w:color w:val="auto"/>
          <w:highlight w:val="none"/>
        </w:rPr>
        <w:t>入决算情况说明</w:t>
      </w:r>
      <w:bookmarkEnd w:id="34"/>
      <w:bookmarkEnd w:id="35"/>
      <w:bookmarkEnd w:id="36"/>
    </w:p>
    <w:p>
      <w:pPr>
        <w:spacing w:line="600" w:lineRule="exact"/>
        <w:ind w:firstLine="640" w:firstLineChars="200"/>
        <w:outlineLvl w:val="1"/>
        <w:rPr>
          <w:rFonts w:hint="eastAsia" w:ascii="仿宋" w:hAnsi="仿宋" w:eastAsia="仿宋"/>
          <w:color w:val="auto"/>
          <w:sz w:val="32"/>
          <w:szCs w:val="32"/>
          <w:highlight w:val="none"/>
        </w:rPr>
      </w:pPr>
      <w:bookmarkStart w:id="37" w:name="_Toc2867"/>
      <w:bookmarkStart w:id="38" w:name="_Toc7731"/>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440.95</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auto"/>
          <w:sz w:val="32"/>
          <w:szCs w:val="32"/>
          <w:highlight w:val="none"/>
          <w:lang w:val="en-US" w:eastAsia="zh-CN"/>
        </w:rPr>
        <w:t>440.95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bookmarkEnd w:id="37"/>
      <w:bookmarkEnd w:id="38"/>
    </w:p>
    <w:p>
      <w:pPr>
        <w:pStyle w:val="12"/>
        <w:jc w:val="center"/>
      </w:pPr>
      <w:r>
        <w:rPr>
          <w:rFonts w:ascii="仿宋" w:hAnsi="仿宋" w:eastAsia="仿宋"/>
          <w:sz w:val="32"/>
          <w:szCs w:val="32"/>
          <w:highlight w:val="none"/>
        </w:rPr>
        <w:drawing>
          <wp:inline distT="0" distB="0" distL="0" distR="0">
            <wp:extent cx="3695065" cy="1905000"/>
            <wp:effectExtent l="4445" t="4445" r="15240" b="1460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firstLineChars="200"/>
        <w:jc w:val="center"/>
        <w:rPr>
          <w:rFonts w:ascii="仿宋_GB2312" w:eastAsia="仿宋_GB2312"/>
          <w:color w:val="auto"/>
          <w:sz w:val="32"/>
          <w:szCs w:val="32"/>
          <w:highlight w:val="none"/>
        </w:rPr>
      </w:pPr>
      <w:r>
        <w:rPr>
          <w:rFonts w:hint="eastAsia" w:ascii="仿宋" w:hAnsi="仿宋" w:eastAsia="仿宋"/>
          <w:color w:val="auto"/>
          <w:sz w:val="32"/>
          <w:szCs w:val="32"/>
          <w:highlight w:val="none"/>
        </w:rPr>
        <w:t>（图2：收入决算结构图）</w:t>
      </w:r>
    </w:p>
    <w:p>
      <w:pPr>
        <w:pStyle w:val="30"/>
        <w:numPr>
          <w:ilvl w:val="0"/>
          <w:numId w:val="2"/>
        </w:numPr>
        <w:spacing w:line="600" w:lineRule="exact"/>
        <w:ind w:firstLineChars="0"/>
        <w:outlineLvl w:val="1"/>
        <w:rPr>
          <w:rStyle w:val="21"/>
          <w:rFonts w:ascii="黑体" w:hAnsi="黑体" w:eastAsia="黑体"/>
          <w:b w:val="0"/>
          <w:color w:val="auto"/>
          <w:highlight w:val="none"/>
        </w:rPr>
      </w:pPr>
      <w:bookmarkStart w:id="39" w:name="_Toc15396605"/>
      <w:bookmarkStart w:id="40" w:name="_Toc15377207"/>
      <w:bookmarkStart w:id="41" w:name="_Toc16633"/>
      <w:r>
        <w:rPr>
          <w:rFonts w:hint="eastAsia" w:ascii="黑体" w:hAnsi="黑体" w:eastAsia="黑体"/>
          <w:color w:val="auto"/>
          <w:sz w:val="32"/>
          <w:szCs w:val="32"/>
          <w:highlight w:val="none"/>
        </w:rPr>
        <w:t>支</w:t>
      </w:r>
      <w:r>
        <w:rPr>
          <w:rStyle w:val="21"/>
          <w:rFonts w:hint="eastAsia" w:ascii="黑体" w:hAnsi="黑体" w:eastAsia="黑体"/>
          <w:b w:val="0"/>
          <w:color w:val="auto"/>
          <w:highlight w:val="none"/>
        </w:rPr>
        <w:t>出决算情况说明</w:t>
      </w:r>
      <w:bookmarkEnd w:id="39"/>
      <w:bookmarkEnd w:id="40"/>
      <w:bookmarkEnd w:id="41"/>
    </w:p>
    <w:p>
      <w:pPr>
        <w:spacing w:line="600" w:lineRule="exact"/>
        <w:ind w:firstLine="640" w:firstLineChars="200"/>
        <w:outlineLvl w:val="1"/>
        <w:rPr>
          <w:rFonts w:hint="eastAsia" w:ascii="仿宋" w:hAnsi="仿宋" w:eastAsia="仿宋"/>
          <w:color w:val="auto"/>
          <w:sz w:val="32"/>
          <w:szCs w:val="32"/>
          <w:highlight w:val="none"/>
        </w:rPr>
      </w:pPr>
      <w:bookmarkStart w:id="42" w:name="_Toc11518"/>
      <w:bookmarkStart w:id="43" w:name="_Toc28116"/>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413.59</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395.02</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95.5</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18.57</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4.5</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bookmarkEnd w:id="42"/>
      <w:bookmarkEnd w:id="43"/>
    </w:p>
    <w:p>
      <w:pPr>
        <w:pStyle w:val="12"/>
        <w:jc w:val="center"/>
      </w:pPr>
      <w:r>
        <w:rPr>
          <w:rFonts w:ascii="仿宋" w:hAnsi="仿宋" w:eastAsia="仿宋"/>
          <w:sz w:val="32"/>
          <w:szCs w:val="32"/>
          <w:shd w:val="pct10" w:color="auto" w:fill="FFFFFF"/>
        </w:rPr>
        <w:drawing>
          <wp:inline distT="0" distB="0" distL="0" distR="0">
            <wp:extent cx="3937000" cy="2150745"/>
            <wp:effectExtent l="5080" t="4445" r="20320" b="1651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firstLineChars="200"/>
        <w:jc w:val="center"/>
        <w:rPr>
          <w:rFonts w:ascii="仿宋_GB2312" w:eastAsia="仿宋_GB2312"/>
          <w:color w:val="auto"/>
          <w:sz w:val="32"/>
          <w:szCs w:val="32"/>
          <w:highlight w:val="none"/>
        </w:rPr>
      </w:pPr>
      <w:r>
        <w:rPr>
          <w:rFonts w:hint="eastAsia" w:ascii="仿宋" w:hAnsi="仿宋" w:eastAsia="仿宋"/>
          <w:color w:val="auto"/>
          <w:sz w:val="32"/>
          <w:szCs w:val="32"/>
          <w:highlight w:val="none"/>
        </w:rPr>
        <w:t>（图3：支出决算结构图）</w:t>
      </w:r>
    </w:p>
    <w:p>
      <w:pPr>
        <w:spacing w:line="600" w:lineRule="exact"/>
        <w:ind w:firstLine="640" w:firstLineChars="200"/>
        <w:outlineLvl w:val="1"/>
        <w:rPr>
          <w:rStyle w:val="21"/>
          <w:rFonts w:ascii="黑体" w:hAnsi="黑体" w:eastAsia="黑体"/>
          <w:b w:val="0"/>
          <w:color w:val="auto"/>
          <w:highlight w:val="none"/>
        </w:rPr>
      </w:pPr>
      <w:bookmarkStart w:id="44" w:name="_Toc16431"/>
      <w:bookmarkStart w:id="45" w:name="_Toc15377208"/>
      <w:bookmarkStart w:id="46" w:name="_Toc15396606"/>
      <w:r>
        <w:rPr>
          <w:rFonts w:hint="eastAsia" w:ascii="黑体" w:hAnsi="黑体" w:eastAsia="黑体"/>
          <w:color w:val="auto"/>
          <w:sz w:val="32"/>
          <w:szCs w:val="32"/>
          <w:highlight w:val="none"/>
        </w:rPr>
        <w:t>四、财</w:t>
      </w:r>
      <w:r>
        <w:rPr>
          <w:rStyle w:val="21"/>
          <w:rFonts w:hint="eastAsia" w:ascii="黑体" w:hAnsi="黑体" w:eastAsia="黑体"/>
          <w:b w:val="0"/>
          <w:color w:val="auto"/>
          <w:highlight w:val="none"/>
        </w:rPr>
        <w:t>政拨款收入支出决算总体情况说明</w:t>
      </w:r>
      <w:bookmarkEnd w:id="44"/>
      <w:bookmarkEnd w:id="45"/>
      <w:bookmarkEnd w:id="46"/>
    </w:p>
    <w:p>
      <w:pPr>
        <w:spacing w:line="600" w:lineRule="exact"/>
        <w:ind w:firstLine="640"/>
        <w:rPr>
          <w:rFonts w:hint="eastAsia" w:ascii="仿宋" w:hAnsi="仿宋" w:eastAsia="仿宋"/>
          <w:sz w:val="32"/>
          <w:szCs w:val="32"/>
          <w:highlight w:val="none"/>
          <w:lang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年财政拨款收、支总计</w:t>
      </w:r>
      <w:r>
        <w:rPr>
          <w:rFonts w:hint="eastAsia" w:ascii="仿宋" w:hAnsi="仿宋" w:eastAsia="仿宋"/>
          <w:color w:val="auto"/>
          <w:sz w:val="32"/>
          <w:szCs w:val="32"/>
          <w:highlight w:val="none"/>
          <w:lang w:val="en-US" w:eastAsia="zh-CN"/>
        </w:rPr>
        <w:t>441.63</w:t>
      </w:r>
      <w:r>
        <w:rPr>
          <w:rFonts w:hint="eastAsia" w:ascii="仿宋" w:hAnsi="仿宋" w:eastAsia="仿宋"/>
          <w:color w:val="auto"/>
          <w:sz w:val="32"/>
          <w:szCs w:val="32"/>
          <w:highlight w:val="none"/>
        </w:rPr>
        <w:t>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年相比，财政拨款收、支总计各增加</w:t>
      </w:r>
      <w:r>
        <w:rPr>
          <w:rFonts w:hint="eastAsia" w:ascii="仿宋" w:hAnsi="仿宋" w:eastAsia="仿宋"/>
          <w:color w:val="auto"/>
          <w:sz w:val="32"/>
          <w:szCs w:val="32"/>
          <w:highlight w:val="none"/>
          <w:lang w:val="en-US" w:eastAsia="zh-CN"/>
        </w:rPr>
        <w:t>97.82</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28.45</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sz w:val="32"/>
          <w:szCs w:val="32"/>
          <w:highlight w:val="none"/>
        </w:rPr>
        <w:t>主要变动原因是2020年和2021年目标考核奖在2022年预算发放及项目经费增加</w:t>
      </w:r>
      <w:r>
        <w:rPr>
          <w:rFonts w:hint="eastAsia" w:ascii="仿宋" w:hAnsi="仿宋" w:eastAsia="仿宋"/>
          <w:sz w:val="32"/>
          <w:szCs w:val="32"/>
          <w:highlight w:val="none"/>
          <w:lang w:eastAsia="zh-CN"/>
        </w:rPr>
        <w:t>。</w:t>
      </w:r>
    </w:p>
    <w:p>
      <w:pPr>
        <w:pStyle w:val="2"/>
        <w:jc w:val="center"/>
        <w:rPr>
          <w:rFonts w:ascii="仿宋" w:hAnsi="仿宋" w:eastAsia="仿宋"/>
          <w:b/>
          <w:color w:val="auto"/>
          <w:sz w:val="32"/>
          <w:szCs w:val="32"/>
          <w:highlight w:val="none"/>
        </w:rPr>
      </w:pPr>
      <w:r>
        <w:drawing>
          <wp:anchor distT="0" distB="0" distL="114300" distR="114300" simplePos="0" relativeHeight="251659264" behindDoc="0" locked="0" layoutInCell="1" allowOverlap="1">
            <wp:simplePos x="0" y="0"/>
            <wp:positionH relativeFrom="column">
              <wp:posOffset>1061720</wp:posOffset>
            </wp:positionH>
            <wp:positionV relativeFrom="paragraph">
              <wp:posOffset>94615</wp:posOffset>
            </wp:positionV>
            <wp:extent cx="3836035" cy="2466975"/>
            <wp:effectExtent l="4445" t="4445" r="7620" b="5080"/>
            <wp:wrapTopAndBottom/>
            <wp:docPr id="2" name="图表 2" descr="7b0a202020202263686172745265734964223a20223230343736303833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rFonts w:hint="eastAsia" w:ascii="仿宋" w:hAnsi="仿宋" w:eastAsia="仿宋"/>
          <w:color w:val="auto"/>
          <w:sz w:val="32"/>
          <w:szCs w:val="32"/>
          <w:highlight w:val="none"/>
        </w:rPr>
        <w:t>（图4：财政拨款收、支决算总计变动情况）</w:t>
      </w:r>
    </w:p>
    <w:p>
      <w:pPr>
        <w:spacing w:line="600" w:lineRule="exact"/>
        <w:ind w:firstLine="640" w:firstLineChars="200"/>
        <w:outlineLvl w:val="1"/>
        <w:rPr>
          <w:rStyle w:val="21"/>
          <w:rFonts w:ascii="黑体" w:hAnsi="黑体" w:eastAsia="黑体"/>
          <w:b w:val="0"/>
          <w:color w:val="auto"/>
          <w:highlight w:val="none"/>
        </w:rPr>
      </w:pPr>
      <w:bookmarkStart w:id="47" w:name="_Toc15377209"/>
      <w:bookmarkStart w:id="48" w:name="_Toc13573"/>
      <w:bookmarkStart w:id="49" w:name="_Toc15396607"/>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1"/>
          <w:rFonts w:hint="eastAsia" w:ascii="黑体" w:hAnsi="黑体" w:eastAsia="黑体"/>
          <w:b w:val="0"/>
          <w:color w:val="auto"/>
          <w:highlight w:val="none"/>
        </w:rPr>
        <w:t>般公共预算财政拨款支出决算情况说明</w:t>
      </w:r>
      <w:bookmarkEnd w:id="47"/>
      <w:bookmarkEnd w:id="48"/>
      <w:bookmarkEnd w:id="49"/>
    </w:p>
    <w:p>
      <w:pPr>
        <w:spacing w:line="600" w:lineRule="exact"/>
        <w:ind w:firstLine="643" w:firstLineChars="200"/>
        <w:outlineLvl w:val="2"/>
        <w:rPr>
          <w:rFonts w:ascii="仿宋" w:hAnsi="仿宋" w:eastAsia="仿宋"/>
          <w:b/>
          <w:color w:val="auto"/>
          <w:sz w:val="32"/>
          <w:szCs w:val="32"/>
          <w:highlight w:val="none"/>
        </w:rPr>
      </w:pPr>
      <w:bookmarkStart w:id="50" w:name="_Toc15377210"/>
      <w:r>
        <w:rPr>
          <w:rFonts w:hint="eastAsia" w:ascii="仿宋" w:hAnsi="仿宋" w:eastAsia="仿宋"/>
          <w:b/>
          <w:color w:val="auto"/>
          <w:sz w:val="32"/>
          <w:szCs w:val="32"/>
          <w:highlight w:val="none"/>
        </w:rPr>
        <w:t>（一）一般公共预算财政拨款支出决算总体情况</w:t>
      </w:r>
      <w:bookmarkEnd w:id="50"/>
    </w:p>
    <w:p>
      <w:pPr>
        <w:spacing w:line="600" w:lineRule="exact"/>
        <w:ind w:firstLine="640" w:firstLineChars="20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413.59</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增加</w:t>
      </w:r>
      <w:r>
        <w:rPr>
          <w:rFonts w:hint="eastAsia" w:ascii="仿宋" w:hAnsi="仿宋" w:eastAsia="仿宋"/>
          <w:color w:val="auto"/>
          <w:sz w:val="32"/>
          <w:szCs w:val="32"/>
          <w:highlight w:val="none"/>
          <w:lang w:val="en-US" w:eastAsia="zh-CN"/>
        </w:rPr>
        <w:t>71.79</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21.00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sz w:val="32"/>
          <w:szCs w:val="32"/>
          <w:highlight w:val="none"/>
        </w:rPr>
        <w:t>主要变动原因是2020年和2021年目标考核奖在2022年预算发放及项目经费增加。</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 w:hAnsi="仿宋" w:eastAsia="仿宋"/>
          <w:color w:val="auto"/>
          <w:sz w:val="32"/>
          <w:szCs w:val="32"/>
          <w:highlight w:val="none"/>
        </w:rPr>
      </w:pPr>
      <w:r>
        <w:rPr>
          <w:rFonts w:ascii="仿宋" w:hAnsi="仿宋" w:eastAsia="仿宋"/>
          <w:sz w:val="32"/>
          <w:szCs w:val="32"/>
        </w:rPr>
        <w:drawing>
          <wp:inline distT="0" distB="0" distL="0" distR="0">
            <wp:extent cx="3919855" cy="1933575"/>
            <wp:effectExtent l="4445" t="4445" r="19050" b="5080"/>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spacing w:line="600" w:lineRule="exact"/>
        <w:jc w:val="center"/>
        <w:outlineLvl w:val="2"/>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（图5：一般公共预算财政拨款支出决算变动情况）</w:t>
      </w:r>
      <w:bookmarkStart w:id="51" w:name="_Toc15377211"/>
    </w:p>
    <w:p>
      <w:pPr>
        <w:spacing w:line="600" w:lineRule="exact"/>
        <w:ind w:firstLine="643" w:firstLineChars="200"/>
        <w:outlineLvl w:val="2"/>
        <w:rPr>
          <w:rFonts w:ascii="仿宋" w:hAnsi="仿宋" w:eastAsia="仿宋"/>
          <w:b/>
          <w:color w:val="auto"/>
          <w:sz w:val="32"/>
          <w:szCs w:val="32"/>
          <w:highlight w:val="none"/>
        </w:rPr>
      </w:pPr>
      <w:r>
        <w:rPr>
          <w:rFonts w:hint="eastAsia" w:ascii="仿宋" w:hAnsi="仿宋" w:eastAsia="仿宋"/>
          <w:b/>
          <w:color w:val="auto"/>
          <w:sz w:val="32"/>
          <w:szCs w:val="32"/>
          <w:highlight w:val="none"/>
        </w:rPr>
        <w:t>（二）一般公共预算财政拨款支出决算结构情况</w:t>
      </w:r>
      <w:bookmarkEnd w:id="51"/>
    </w:p>
    <w:p>
      <w:pPr>
        <w:spacing w:line="600" w:lineRule="exact"/>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413.59</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b/>
          <w:color w:val="auto"/>
          <w:sz w:val="32"/>
          <w:szCs w:val="32"/>
          <w:highlight w:val="none"/>
        </w:rPr>
        <w:t>社会保障和就业</w:t>
      </w:r>
      <w:r>
        <w:rPr>
          <w:rFonts w:hint="eastAsia" w:ascii="仿宋" w:hAnsi="仿宋" w:eastAsia="仿宋"/>
          <w:b/>
          <w:bCs/>
          <w:color w:val="auto"/>
          <w:sz w:val="32"/>
          <w:szCs w:val="32"/>
          <w:highlight w:val="none"/>
        </w:rPr>
        <w:t>支出</w:t>
      </w:r>
      <w:r>
        <w:rPr>
          <w:rFonts w:hint="eastAsia" w:ascii="仿宋" w:hAnsi="仿宋" w:eastAsia="仿宋"/>
          <w:color w:val="auto"/>
          <w:sz w:val="32"/>
          <w:szCs w:val="32"/>
          <w:highlight w:val="none"/>
          <w:lang w:val="en-US" w:eastAsia="zh-CN"/>
        </w:rPr>
        <w:t>366.07</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88.51</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卫生健康支出</w:t>
      </w:r>
      <w:r>
        <w:rPr>
          <w:rFonts w:hint="eastAsia" w:ascii="仿宋" w:hAnsi="仿宋" w:eastAsia="仿宋"/>
          <w:color w:val="auto"/>
          <w:sz w:val="32"/>
          <w:szCs w:val="32"/>
          <w:highlight w:val="none"/>
          <w:lang w:val="en-US" w:eastAsia="zh-CN"/>
        </w:rPr>
        <w:t>9.99</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2.42</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住房保障支出</w:t>
      </w:r>
      <w:r>
        <w:rPr>
          <w:rFonts w:hint="eastAsia" w:ascii="仿宋" w:hAnsi="仿宋" w:eastAsia="仿宋"/>
          <w:color w:val="auto"/>
          <w:sz w:val="32"/>
          <w:szCs w:val="32"/>
          <w:highlight w:val="none"/>
          <w:lang w:val="en-US" w:eastAsia="zh-CN"/>
        </w:rPr>
        <w:t>37.53</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9.07</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pStyle w:val="2"/>
        <w:jc w:val="center"/>
        <w:rPr>
          <w:rFonts w:hint="eastAsia"/>
        </w:rPr>
      </w:pPr>
      <w:r>
        <w:rPr>
          <w:rFonts w:ascii="仿宋" w:hAnsi="仿宋" w:eastAsia="仿宋"/>
          <w:sz w:val="32"/>
          <w:szCs w:val="32"/>
        </w:rPr>
        <w:drawing>
          <wp:inline distT="0" distB="0" distL="0" distR="0">
            <wp:extent cx="3756025" cy="2055495"/>
            <wp:effectExtent l="4445" t="4445" r="11430" b="1651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spacing w:line="600" w:lineRule="exact"/>
        <w:ind w:firstLine="640" w:firstLineChars="200"/>
        <w:outlineLvl w:val="2"/>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（图6：一般公共预算财政拨款支出决算结构）</w:t>
      </w:r>
      <w:bookmarkStart w:id="52" w:name="_Toc15377212"/>
    </w:p>
    <w:p>
      <w:pPr>
        <w:spacing w:line="600" w:lineRule="exact"/>
        <w:ind w:firstLine="643" w:firstLineChars="200"/>
        <w:outlineLvl w:val="2"/>
        <w:rPr>
          <w:rFonts w:ascii="仿宋" w:hAnsi="仿宋" w:eastAsia="仿宋"/>
          <w:b/>
          <w:color w:val="auto"/>
          <w:sz w:val="32"/>
          <w:szCs w:val="32"/>
          <w:highlight w:val="none"/>
        </w:rPr>
      </w:pPr>
      <w:r>
        <w:rPr>
          <w:rFonts w:hint="eastAsia" w:ascii="仿宋" w:hAnsi="仿宋" w:eastAsia="仿宋"/>
          <w:b/>
          <w:color w:val="auto"/>
          <w:sz w:val="32"/>
          <w:szCs w:val="32"/>
          <w:highlight w:val="none"/>
        </w:rPr>
        <w:t>（三）一般公共预算财政拨款支出决算具体情况</w:t>
      </w:r>
      <w:bookmarkEnd w:id="52"/>
    </w:p>
    <w:p>
      <w:pPr>
        <w:spacing w:line="600" w:lineRule="exact"/>
        <w:ind w:firstLine="643" w:firstLineChars="200"/>
        <w:outlineLvl w:val="1"/>
        <w:rPr>
          <w:rFonts w:ascii="仿宋" w:hAnsi="仿宋" w:eastAsia="仿宋"/>
          <w:color w:val="auto"/>
          <w:sz w:val="32"/>
          <w:szCs w:val="32"/>
          <w:highlight w:val="none"/>
        </w:rPr>
      </w:pPr>
      <w:bookmarkStart w:id="53" w:name="_Toc28354"/>
      <w:bookmarkStart w:id="54" w:name="_Toc15377444"/>
      <w:bookmarkStart w:id="55" w:name="_Toc15377213"/>
      <w:bookmarkStart w:id="56" w:name="_Toc15850"/>
      <w:bookmarkStart w:id="57" w:name="_Toc15378460"/>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22</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413.59万元</w:t>
      </w:r>
      <w:r>
        <w:rPr>
          <w:rFonts w:hint="eastAsia" w:ascii="仿宋" w:hAnsi="仿宋" w:eastAsia="仿宋"/>
          <w:color w:val="auto"/>
          <w:sz w:val="32"/>
          <w:szCs w:val="32"/>
          <w:highlight w:val="none"/>
        </w:rPr>
        <w:t>，</w:t>
      </w:r>
      <w:r>
        <w:rPr>
          <w:rStyle w:val="18"/>
          <w:rFonts w:hint="eastAsia" w:ascii="仿宋" w:hAnsi="仿宋" w:eastAsia="仿宋"/>
          <w:bCs/>
          <w:color w:val="auto"/>
          <w:sz w:val="32"/>
          <w:szCs w:val="32"/>
          <w:highlight w:val="none"/>
        </w:rPr>
        <w:t>完成预算</w:t>
      </w:r>
      <w:r>
        <w:rPr>
          <w:rStyle w:val="18"/>
          <w:rFonts w:hint="eastAsia" w:ascii="仿宋" w:hAnsi="仿宋" w:eastAsia="仿宋"/>
          <w:bCs/>
          <w:color w:val="auto"/>
          <w:sz w:val="32"/>
          <w:szCs w:val="32"/>
          <w:highlight w:val="none"/>
          <w:lang w:val="en-US" w:eastAsia="zh-CN"/>
        </w:rPr>
        <w:t>93.7</w:t>
      </w:r>
      <w:r>
        <w:rPr>
          <w:rStyle w:val="18"/>
          <w:rFonts w:ascii="仿宋" w:hAnsi="仿宋" w:eastAsia="仿宋"/>
          <w:bCs/>
          <w:color w:val="auto"/>
          <w:sz w:val="32"/>
          <w:szCs w:val="32"/>
          <w:highlight w:val="none"/>
        </w:rPr>
        <w:t>%</w:t>
      </w:r>
      <w:r>
        <w:rPr>
          <w:rStyle w:val="18"/>
          <w:rFonts w:hint="eastAsia" w:ascii="仿宋" w:hAnsi="仿宋" w:eastAsia="仿宋"/>
          <w:bCs/>
          <w:color w:val="auto"/>
          <w:sz w:val="32"/>
          <w:szCs w:val="32"/>
          <w:highlight w:val="none"/>
        </w:rPr>
        <w:t>。其中：</w:t>
      </w:r>
      <w:bookmarkEnd w:id="53"/>
      <w:bookmarkEnd w:id="54"/>
      <w:bookmarkEnd w:id="55"/>
      <w:bookmarkEnd w:id="56"/>
      <w:bookmarkEnd w:id="57"/>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Style w:val="18"/>
          <w:rFonts w:hint="eastAsia" w:ascii="仿宋" w:hAnsi="仿宋" w:eastAsia="仿宋"/>
          <w:b w:val="0"/>
          <w:bCs/>
          <w:color w:val="auto"/>
          <w:sz w:val="32"/>
          <w:szCs w:val="32"/>
          <w:highlight w:val="none"/>
        </w:rPr>
      </w:pPr>
      <w:r>
        <w:rPr>
          <w:rStyle w:val="18"/>
          <w:rFonts w:hint="eastAsia" w:ascii="仿宋" w:hAnsi="仿宋" w:eastAsia="仿宋"/>
          <w:bCs/>
          <w:color w:val="auto"/>
          <w:sz w:val="32"/>
          <w:szCs w:val="32"/>
          <w:highlight w:val="none"/>
          <w:lang w:val="en-US" w:eastAsia="zh-CN"/>
        </w:rPr>
        <w:t>1.</w:t>
      </w:r>
      <w:r>
        <w:rPr>
          <w:rStyle w:val="18"/>
          <w:rFonts w:hint="eastAsia" w:ascii="仿宋" w:hAnsi="仿宋" w:eastAsia="仿宋"/>
          <w:bCs/>
          <w:color w:val="auto"/>
          <w:sz w:val="32"/>
          <w:szCs w:val="32"/>
          <w:highlight w:val="none"/>
        </w:rPr>
        <w:t>社会保障和就业（类）人力资源和社会保障管理事务（款）就业管理事务（项）</w:t>
      </w:r>
      <w:r>
        <w:rPr>
          <w:rStyle w:val="18"/>
          <w:rFonts w:ascii="仿宋" w:hAnsi="仿宋" w:eastAsia="仿宋"/>
          <w:bCs/>
          <w:color w:val="auto"/>
          <w:sz w:val="32"/>
          <w:szCs w:val="32"/>
          <w:highlight w:val="none"/>
        </w:rPr>
        <w:t>:</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2</w:t>
      </w:r>
      <w:r>
        <w:rPr>
          <w:rStyle w:val="18"/>
          <w:rFonts w:hint="eastAsia" w:ascii="仿宋" w:hAnsi="仿宋" w:eastAsia="仿宋"/>
          <w:b w:val="0"/>
          <w:bCs/>
          <w:color w:val="auto"/>
          <w:sz w:val="32"/>
          <w:szCs w:val="32"/>
          <w:highlight w:val="none"/>
        </w:rPr>
        <w:t>万元，完成预算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 w:hAnsi="仿宋" w:eastAsia="仿宋"/>
          <w:b/>
          <w:color w:val="auto"/>
          <w:sz w:val="32"/>
          <w:szCs w:val="32"/>
          <w:highlight w:val="none"/>
        </w:rPr>
      </w:pPr>
      <w:r>
        <w:rPr>
          <w:rStyle w:val="18"/>
          <w:rFonts w:hint="eastAsia" w:ascii="仿宋" w:hAnsi="仿宋" w:eastAsia="仿宋"/>
          <w:bCs/>
          <w:color w:val="auto"/>
          <w:sz w:val="32"/>
          <w:szCs w:val="32"/>
          <w:highlight w:val="none"/>
          <w:lang w:val="en-US" w:eastAsia="zh-CN"/>
        </w:rPr>
        <w:t>2</w:t>
      </w:r>
      <w:r>
        <w:rPr>
          <w:rStyle w:val="18"/>
          <w:rFonts w:ascii="仿宋" w:hAnsi="仿宋" w:eastAsia="仿宋"/>
          <w:bCs/>
          <w:color w:val="auto"/>
          <w:sz w:val="32"/>
          <w:szCs w:val="32"/>
          <w:highlight w:val="none"/>
        </w:rPr>
        <w:t>.</w:t>
      </w:r>
      <w:r>
        <w:rPr>
          <w:rStyle w:val="18"/>
          <w:rFonts w:hint="eastAsia" w:ascii="仿宋" w:hAnsi="仿宋" w:eastAsia="仿宋"/>
          <w:bCs/>
          <w:color w:val="auto"/>
          <w:sz w:val="32"/>
          <w:szCs w:val="32"/>
          <w:highlight w:val="none"/>
        </w:rPr>
        <w:t>社会保障和就业（类）人力资源和社会保障管理事务（款）信息化建设（项）</w:t>
      </w:r>
      <w:r>
        <w:rPr>
          <w:rStyle w:val="18"/>
          <w:rFonts w:ascii="仿宋" w:hAnsi="仿宋" w:eastAsia="仿宋"/>
          <w:bCs/>
          <w:color w:val="auto"/>
          <w:sz w:val="32"/>
          <w:szCs w:val="32"/>
          <w:highlight w:val="none"/>
        </w:rPr>
        <w:t>:</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2</w:t>
      </w:r>
      <w:r>
        <w:rPr>
          <w:rStyle w:val="18"/>
          <w:rFonts w:hint="eastAsia" w:ascii="仿宋" w:hAnsi="仿宋" w:eastAsia="仿宋"/>
          <w:b w:val="0"/>
          <w:bCs/>
          <w:color w:val="auto"/>
          <w:sz w:val="32"/>
          <w:szCs w:val="32"/>
          <w:highlight w:val="none"/>
        </w:rPr>
        <w:t>万元，完成预算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 w:hAnsi="仿宋" w:eastAsia="仿宋"/>
          <w:b/>
          <w:color w:val="auto"/>
          <w:sz w:val="32"/>
          <w:szCs w:val="32"/>
          <w:highlight w:val="none"/>
        </w:rPr>
      </w:pPr>
      <w:r>
        <w:rPr>
          <w:rStyle w:val="18"/>
          <w:rFonts w:hint="eastAsia" w:ascii="仿宋" w:hAnsi="仿宋" w:eastAsia="仿宋"/>
          <w:bCs/>
          <w:color w:val="auto"/>
          <w:sz w:val="32"/>
          <w:szCs w:val="32"/>
          <w:highlight w:val="none"/>
          <w:lang w:val="en-US" w:eastAsia="zh-CN"/>
        </w:rPr>
        <w:t>3</w:t>
      </w:r>
      <w:r>
        <w:rPr>
          <w:rStyle w:val="18"/>
          <w:rFonts w:ascii="仿宋" w:hAnsi="仿宋" w:eastAsia="仿宋"/>
          <w:bCs/>
          <w:color w:val="auto"/>
          <w:sz w:val="32"/>
          <w:szCs w:val="32"/>
          <w:highlight w:val="none"/>
        </w:rPr>
        <w:t>.</w:t>
      </w:r>
      <w:r>
        <w:rPr>
          <w:rStyle w:val="18"/>
          <w:rFonts w:hint="eastAsia" w:ascii="仿宋" w:hAnsi="仿宋" w:eastAsia="仿宋"/>
          <w:bCs/>
          <w:color w:val="auto"/>
          <w:sz w:val="32"/>
          <w:szCs w:val="32"/>
          <w:highlight w:val="none"/>
        </w:rPr>
        <w:t>社会保障和就业（类）人力资源和社会保障管理事务（款）事业运行（项）</w:t>
      </w:r>
      <w:r>
        <w:rPr>
          <w:rStyle w:val="18"/>
          <w:rFonts w:ascii="仿宋" w:hAnsi="仿宋" w:eastAsia="仿宋"/>
          <w:bCs/>
          <w:color w:val="auto"/>
          <w:sz w:val="32"/>
          <w:szCs w:val="32"/>
          <w:highlight w:val="none"/>
        </w:rPr>
        <w:t>:</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322.01</w:t>
      </w:r>
      <w:r>
        <w:rPr>
          <w:rStyle w:val="18"/>
          <w:rFonts w:hint="eastAsia" w:ascii="仿宋" w:hAnsi="仿宋" w:eastAsia="仿宋"/>
          <w:b w:val="0"/>
          <w:bCs/>
          <w:color w:val="auto"/>
          <w:sz w:val="32"/>
          <w:szCs w:val="32"/>
          <w:highlight w:val="none"/>
        </w:rPr>
        <w:t>万元，完成预算</w:t>
      </w:r>
      <w:r>
        <w:rPr>
          <w:rStyle w:val="18"/>
          <w:rFonts w:hint="eastAsia" w:ascii="仿宋" w:hAnsi="仿宋" w:eastAsia="仿宋"/>
          <w:b w:val="0"/>
          <w:bCs/>
          <w:color w:val="auto"/>
          <w:sz w:val="32"/>
          <w:szCs w:val="32"/>
          <w:highlight w:val="none"/>
          <w:lang w:val="en-US" w:eastAsia="zh-CN"/>
        </w:rPr>
        <w:t>92.01</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lang w:val="en-US" w:eastAsia="zh-CN"/>
        </w:rPr>
        <w:t>,</w:t>
      </w:r>
      <w:r>
        <w:rPr>
          <w:rStyle w:val="18"/>
          <w:rFonts w:hint="eastAsia" w:ascii="仿宋" w:hAnsi="仿宋" w:eastAsia="仿宋"/>
          <w:b w:val="0"/>
          <w:bCs/>
          <w:color w:val="auto"/>
          <w:sz w:val="32"/>
          <w:szCs w:val="32"/>
          <w:highlight w:val="none"/>
        </w:rPr>
        <w:t>决算数小于预算数的主要原因是</w:t>
      </w:r>
      <w:r>
        <w:rPr>
          <w:rStyle w:val="18"/>
          <w:rFonts w:hint="eastAsia" w:ascii="仿宋" w:hAnsi="仿宋" w:eastAsia="仿宋"/>
          <w:b w:val="0"/>
          <w:bCs/>
          <w:color w:val="auto"/>
          <w:sz w:val="32"/>
          <w:szCs w:val="32"/>
          <w:highlight w:val="none"/>
          <w:lang w:eastAsia="zh-CN"/>
        </w:rPr>
        <w:t>部分费用在下年度支出</w:t>
      </w:r>
      <w:r>
        <w:rPr>
          <w:rStyle w:val="18"/>
          <w:rFonts w:hint="eastAsia" w:ascii="仿宋" w:hAnsi="仿宋" w:eastAsia="仿宋"/>
          <w:b w:val="0"/>
          <w:bCs/>
          <w:color w:val="auto"/>
          <w:sz w:val="32"/>
          <w:szCs w:val="32"/>
          <w:highlight w:val="none"/>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Lines="0"/>
        <w:ind w:firstLine="643" w:firstLineChars="200"/>
        <w:textAlignment w:val="auto"/>
        <w:rPr>
          <w:rStyle w:val="18"/>
          <w:rFonts w:hint="eastAsia" w:ascii="仿宋" w:hAnsi="仿宋" w:eastAsia="仿宋"/>
          <w:b w:val="0"/>
          <w:bCs/>
          <w:color w:val="auto"/>
          <w:sz w:val="32"/>
          <w:szCs w:val="32"/>
          <w:highlight w:val="none"/>
        </w:rPr>
      </w:pPr>
      <w:r>
        <w:rPr>
          <w:rStyle w:val="18"/>
          <w:rFonts w:hint="eastAsia" w:ascii="仿宋" w:hAnsi="仿宋" w:eastAsia="仿宋"/>
          <w:bCs/>
          <w:color w:val="auto"/>
          <w:sz w:val="32"/>
          <w:szCs w:val="32"/>
          <w:highlight w:val="none"/>
          <w:lang w:val="en-US" w:eastAsia="zh-CN"/>
        </w:rPr>
        <w:t>4</w:t>
      </w:r>
      <w:r>
        <w:rPr>
          <w:rStyle w:val="18"/>
          <w:rFonts w:ascii="仿宋" w:hAnsi="仿宋" w:eastAsia="仿宋"/>
          <w:bCs/>
          <w:color w:val="auto"/>
          <w:sz w:val="32"/>
          <w:szCs w:val="32"/>
          <w:highlight w:val="none"/>
        </w:rPr>
        <w:t>.</w:t>
      </w:r>
      <w:r>
        <w:rPr>
          <w:rStyle w:val="18"/>
          <w:rFonts w:hint="eastAsia" w:ascii="仿宋" w:hAnsi="仿宋" w:eastAsia="仿宋"/>
          <w:bCs/>
          <w:color w:val="auto"/>
          <w:sz w:val="32"/>
          <w:szCs w:val="32"/>
          <w:highlight w:val="none"/>
        </w:rPr>
        <w:t>社会保障和就业（类）人力资源和社会保障管理事务（款）其他人力资源和社会保障管理事务支出（项）</w:t>
      </w:r>
      <w:r>
        <w:rPr>
          <w:rStyle w:val="18"/>
          <w:rFonts w:ascii="仿宋" w:hAnsi="仿宋" w:eastAsia="仿宋"/>
          <w:bCs/>
          <w:color w:val="auto"/>
          <w:sz w:val="32"/>
          <w:szCs w:val="32"/>
          <w:highlight w:val="none"/>
        </w:rPr>
        <w:t>:</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14.57</w:t>
      </w:r>
      <w:r>
        <w:rPr>
          <w:rStyle w:val="18"/>
          <w:rFonts w:hint="eastAsia" w:ascii="仿宋" w:hAnsi="仿宋" w:eastAsia="仿宋"/>
          <w:b w:val="0"/>
          <w:bCs/>
          <w:color w:val="auto"/>
          <w:sz w:val="32"/>
          <w:szCs w:val="32"/>
          <w:highlight w:val="none"/>
        </w:rPr>
        <w:t>万元，完成预算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Lines="0"/>
        <w:ind w:firstLine="643" w:firstLineChars="200"/>
        <w:textAlignment w:val="auto"/>
        <w:rPr>
          <w:rStyle w:val="18"/>
          <w:rFonts w:hint="eastAsia" w:ascii="仿宋" w:hAnsi="仿宋" w:eastAsia="仿宋"/>
          <w:b w:val="0"/>
          <w:bCs/>
          <w:color w:val="auto"/>
          <w:sz w:val="32"/>
          <w:szCs w:val="32"/>
          <w:highlight w:val="none"/>
        </w:rPr>
      </w:pPr>
      <w:r>
        <w:rPr>
          <w:rStyle w:val="18"/>
          <w:rFonts w:hint="eastAsia" w:ascii="仿宋" w:hAnsi="仿宋" w:eastAsia="仿宋"/>
          <w:bCs/>
          <w:color w:val="auto"/>
          <w:sz w:val="32"/>
          <w:szCs w:val="32"/>
          <w:highlight w:val="none"/>
          <w:lang w:val="en-US" w:eastAsia="zh-CN"/>
        </w:rPr>
        <w:t>5</w:t>
      </w:r>
      <w:r>
        <w:rPr>
          <w:rStyle w:val="18"/>
          <w:rFonts w:ascii="仿宋" w:hAnsi="仿宋" w:eastAsia="仿宋"/>
          <w:bCs/>
          <w:color w:val="auto"/>
          <w:sz w:val="32"/>
          <w:szCs w:val="32"/>
          <w:highlight w:val="none"/>
        </w:rPr>
        <w:t>.</w:t>
      </w:r>
      <w:r>
        <w:rPr>
          <w:rStyle w:val="18"/>
          <w:rFonts w:hint="eastAsia" w:ascii="仿宋" w:hAnsi="仿宋" w:eastAsia="仿宋"/>
          <w:bCs/>
          <w:color w:val="auto"/>
          <w:sz w:val="32"/>
          <w:szCs w:val="32"/>
          <w:highlight w:val="none"/>
        </w:rPr>
        <w:t>社会保障和就业（类）行政事业单位养老支出（款）机关事业单位基本养老保险缴费支出（项）</w:t>
      </w:r>
      <w:r>
        <w:rPr>
          <w:rStyle w:val="18"/>
          <w:rFonts w:ascii="仿宋" w:hAnsi="仿宋" w:eastAsia="仿宋"/>
          <w:bCs/>
          <w:color w:val="auto"/>
          <w:sz w:val="32"/>
          <w:szCs w:val="32"/>
          <w:highlight w:val="none"/>
        </w:rPr>
        <w:t>:</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21.65</w:t>
      </w:r>
      <w:r>
        <w:rPr>
          <w:rStyle w:val="18"/>
          <w:rFonts w:hint="eastAsia" w:ascii="仿宋" w:hAnsi="仿宋" w:eastAsia="仿宋"/>
          <w:b w:val="0"/>
          <w:bCs/>
          <w:color w:val="auto"/>
          <w:sz w:val="32"/>
          <w:szCs w:val="32"/>
          <w:highlight w:val="none"/>
        </w:rPr>
        <w:t>万元，完成预算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Lines="0"/>
        <w:ind w:firstLine="643" w:firstLineChars="200"/>
        <w:textAlignment w:val="auto"/>
        <w:rPr>
          <w:rStyle w:val="18"/>
          <w:rFonts w:hint="eastAsia" w:ascii="仿宋" w:hAnsi="仿宋" w:eastAsia="仿宋"/>
          <w:b w:val="0"/>
          <w:bCs/>
          <w:color w:val="auto"/>
          <w:sz w:val="32"/>
          <w:szCs w:val="32"/>
          <w:highlight w:val="none"/>
        </w:rPr>
      </w:pPr>
      <w:r>
        <w:rPr>
          <w:rStyle w:val="18"/>
          <w:rFonts w:hint="eastAsia" w:ascii="仿宋" w:hAnsi="仿宋" w:eastAsia="仿宋"/>
          <w:bCs/>
          <w:color w:val="auto"/>
          <w:sz w:val="32"/>
          <w:szCs w:val="32"/>
          <w:highlight w:val="none"/>
          <w:lang w:val="en-US" w:eastAsia="zh-CN"/>
        </w:rPr>
        <w:t>6</w:t>
      </w:r>
      <w:r>
        <w:rPr>
          <w:rStyle w:val="18"/>
          <w:rFonts w:ascii="仿宋" w:hAnsi="仿宋" w:eastAsia="仿宋"/>
          <w:bCs/>
          <w:color w:val="auto"/>
          <w:sz w:val="32"/>
          <w:szCs w:val="32"/>
          <w:highlight w:val="none"/>
        </w:rPr>
        <w:t>.</w:t>
      </w:r>
      <w:r>
        <w:rPr>
          <w:rStyle w:val="18"/>
          <w:rFonts w:hint="eastAsia" w:ascii="仿宋" w:hAnsi="仿宋" w:eastAsia="仿宋"/>
          <w:bCs/>
          <w:color w:val="auto"/>
          <w:sz w:val="32"/>
          <w:szCs w:val="32"/>
          <w:highlight w:val="none"/>
        </w:rPr>
        <w:t>社会保障和就业（类）行政事业单位养老支出（款）机关事业单位职业年金缴费支出（项）</w:t>
      </w:r>
      <w:r>
        <w:rPr>
          <w:rStyle w:val="18"/>
          <w:rFonts w:ascii="仿宋" w:hAnsi="仿宋" w:eastAsia="仿宋"/>
          <w:bCs/>
          <w:color w:val="auto"/>
          <w:sz w:val="32"/>
          <w:szCs w:val="32"/>
          <w:highlight w:val="none"/>
        </w:rPr>
        <w:t>:</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3.84</w:t>
      </w:r>
      <w:r>
        <w:rPr>
          <w:rStyle w:val="18"/>
          <w:rFonts w:hint="eastAsia" w:ascii="仿宋" w:hAnsi="仿宋" w:eastAsia="仿宋"/>
          <w:b w:val="0"/>
          <w:bCs/>
          <w:color w:val="auto"/>
          <w:sz w:val="32"/>
          <w:szCs w:val="32"/>
          <w:highlight w:val="none"/>
        </w:rPr>
        <w:t>万元，完成预算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w:t>
      </w:r>
    </w:p>
    <w:p>
      <w:pPr>
        <w:spacing w:line="600" w:lineRule="exact"/>
        <w:ind w:firstLine="643" w:firstLineChars="200"/>
        <w:rPr>
          <w:rFonts w:ascii="仿宋" w:hAnsi="仿宋" w:eastAsia="仿宋"/>
          <w:b/>
          <w:color w:val="auto"/>
          <w:sz w:val="32"/>
          <w:szCs w:val="32"/>
          <w:highlight w:val="none"/>
        </w:rPr>
      </w:pPr>
      <w:r>
        <w:rPr>
          <w:rStyle w:val="18"/>
          <w:rFonts w:hint="eastAsia" w:ascii="仿宋" w:hAnsi="仿宋" w:eastAsia="仿宋"/>
          <w:bCs/>
          <w:color w:val="auto"/>
          <w:sz w:val="32"/>
          <w:szCs w:val="32"/>
          <w:highlight w:val="none"/>
          <w:lang w:val="en-US" w:eastAsia="zh-CN"/>
        </w:rPr>
        <w:t>7</w:t>
      </w:r>
      <w:r>
        <w:rPr>
          <w:rStyle w:val="18"/>
          <w:rFonts w:ascii="仿宋" w:hAnsi="仿宋" w:eastAsia="仿宋"/>
          <w:bCs/>
          <w:color w:val="auto"/>
          <w:sz w:val="32"/>
          <w:szCs w:val="32"/>
          <w:highlight w:val="none"/>
        </w:rPr>
        <w:t>.</w:t>
      </w:r>
      <w:r>
        <w:rPr>
          <w:rFonts w:hint="eastAsia" w:ascii="仿宋" w:hAnsi="仿宋" w:eastAsia="仿宋"/>
          <w:b/>
          <w:bCs/>
          <w:color w:val="auto"/>
          <w:sz w:val="32"/>
          <w:szCs w:val="32"/>
          <w:highlight w:val="none"/>
        </w:rPr>
        <w:t>卫生健康</w:t>
      </w:r>
      <w:r>
        <w:rPr>
          <w:rStyle w:val="18"/>
          <w:rFonts w:hint="eastAsia" w:ascii="仿宋" w:hAnsi="仿宋" w:eastAsia="仿宋"/>
          <w:bCs/>
          <w:color w:val="auto"/>
          <w:sz w:val="32"/>
          <w:szCs w:val="32"/>
          <w:highlight w:val="none"/>
        </w:rPr>
        <w:t>（类）行政事业单位医疗（款）行政单位医疗（项）</w:t>
      </w:r>
      <w:r>
        <w:rPr>
          <w:rStyle w:val="18"/>
          <w:rFonts w:ascii="仿宋" w:hAnsi="仿宋" w:eastAsia="仿宋"/>
          <w:bCs/>
          <w:color w:val="auto"/>
          <w:sz w:val="32"/>
          <w:szCs w:val="32"/>
          <w:highlight w:val="none"/>
        </w:rPr>
        <w:t>:</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9.99</w:t>
      </w:r>
      <w:r>
        <w:rPr>
          <w:rStyle w:val="18"/>
          <w:rFonts w:hint="eastAsia" w:ascii="仿宋" w:hAnsi="仿宋" w:eastAsia="仿宋"/>
          <w:b w:val="0"/>
          <w:bCs/>
          <w:color w:val="auto"/>
          <w:sz w:val="32"/>
          <w:szCs w:val="32"/>
          <w:highlight w:val="none"/>
        </w:rPr>
        <w:t>万元，完成预算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w:t>
      </w:r>
    </w:p>
    <w:p>
      <w:pPr>
        <w:spacing w:line="600" w:lineRule="exact"/>
        <w:ind w:firstLine="643" w:firstLineChars="200"/>
        <w:rPr>
          <w:rStyle w:val="18"/>
          <w:rFonts w:hint="eastAsia" w:ascii="仿宋" w:hAnsi="仿宋" w:eastAsia="仿宋"/>
          <w:b w:val="0"/>
          <w:bCs/>
          <w:color w:val="auto"/>
          <w:sz w:val="32"/>
          <w:szCs w:val="32"/>
          <w:highlight w:val="none"/>
        </w:rPr>
      </w:pPr>
      <w:r>
        <w:rPr>
          <w:rStyle w:val="18"/>
          <w:rFonts w:hint="eastAsia" w:ascii="仿宋" w:hAnsi="仿宋" w:eastAsia="仿宋"/>
          <w:bCs/>
          <w:color w:val="auto"/>
          <w:sz w:val="32"/>
          <w:szCs w:val="32"/>
          <w:highlight w:val="none"/>
          <w:lang w:val="en-US" w:eastAsia="zh-CN"/>
        </w:rPr>
        <w:t>8</w:t>
      </w:r>
      <w:r>
        <w:rPr>
          <w:rStyle w:val="18"/>
          <w:rFonts w:ascii="仿宋" w:hAnsi="仿宋" w:eastAsia="仿宋"/>
          <w:bCs/>
          <w:color w:val="auto"/>
          <w:sz w:val="32"/>
          <w:szCs w:val="32"/>
          <w:highlight w:val="none"/>
        </w:rPr>
        <w:t>.</w:t>
      </w:r>
      <w:r>
        <w:rPr>
          <w:rFonts w:hint="eastAsia" w:ascii="仿宋" w:hAnsi="仿宋" w:eastAsia="仿宋"/>
          <w:b/>
          <w:bCs/>
          <w:color w:val="auto"/>
          <w:sz w:val="32"/>
          <w:szCs w:val="32"/>
          <w:highlight w:val="none"/>
        </w:rPr>
        <w:t>住房保障支出</w:t>
      </w:r>
      <w:r>
        <w:rPr>
          <w:rStyle w:val="18"/>
          <w:rFonts w:hint="eastAsia" w:ascii="仿宋" w:hAnsi="仿宋" w:eastAsia="仿宋"/>
          <w:bCs/>
          <w:color w:val="auto"/>
          <w:sz w:val="32"/>
          <w:szCs w:val="32"/>
          <w:highlight w:val="none"/>
        </w:rPr>
        <w:t>（类）住房改革支出（款）住房公积金（项）</w:t>
      </w:r>
      <w:r>
        <w:rPr>
          <w:rStyle w:val="18"/>
          <w:rFonts w:ascii="仿宋" w:hAnsi="仿宋" w:eastAsia="仿宋"/>
          <w:bCs/>
          <w:color w:val="auto"/>
          <w:sz w:val="32"/>
          <w:szCs w:val="32"/>
          <w:highlight w:val="none"/>
        </w:rPr>
        <w:t>:</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37.53</w:t>
      </w:r>
      <w:r>
        <w:rPr>
          <w:rStyle w:val="18"/>
          <w:rFonts w:hint="eastAsia" w:ascii="仿宋" w:hAnsi="仿宋" w:eastAsia="仿宋"/>
          <w:b w:val="0"/>
          <w:bCs/>
          <w:color w:val="auto"/>
          <w:sz w:val="32"/>
          <w:szCs w:val="32"/>
          <w:highlight w:val="none"/>
        </w:rPr>
        <w:t>万元，完成预算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w:t>
      </w:r>
    </w:p>
    <w:p>
      <w:pPr>
        <w:tabs>
          <w:tab w:val="right" w:pos="8306"/>
        </w:tabs>
        <w:spacing w:line="600" w:lineRule="exact"/>
        <w:ind w:firstLine="640"/>
        <w:outlineLvl w:val="1"/>
        <w:rPr>
          <w:rStyle w:val="21"/>
          <w:color w:val="auto"/>
          <w:highlight w:val="none"/>
        </w:rPr>
      </w:pPr>
      <w:bookmarkStart w:id="58" w:name="_Toc15377214"/>
      <w:bookmarkStart w:id="59" w:name="_Toc9475"/>
      <w:bookmarkStart w:id="60" w:name="_Toc15396608"/>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1"/>
          <w:rFonts w:hint="eastAsia" w:ascii="黑体" w:hAnsi="黑体" w:eastAsia="黑体"/>
          <w:b w:val="0"/>
          <w:color w:val="auto"/>
          <w:highlight w:val="none"/>
        </w:rPr>
        <w:t>般公共预算财政拨款基本支出决算情况说明</w:t>
      </w:r>
      <w:bookmarkEnd w:id="58"/>
      <w:bookmarkEnd w:id="59"/>
      <w:bookmarkEnd w:id="60"/>
      <w:r>
        <w:rPr>
          <w:rStyle w:val="21"/>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395.02</w:t>
      </w:r>
      <w:r>
        <w:rPr>
          <w:rFonts w:hint="eastAsia" w:ascii="仿宋" w:hAnsi="仿宋" w:eastAsia="仿宋"/>
          <w:color w:val="auto"/>
          <w:sz w:val="32"/>
          <w:szCs w:val="32"/>
          <w:highlight w:val="none"/>
        </w:rPr>
        <w:t>万元，其中：</w:t>
      </w:r>
    </w:p>
    <w:p>
      <w:pPr>
        <w:spacing w:line="600" w:lineRule="exact"/>
        <w:ind w:firstLine="645"/>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373.34</w:t>
      </w:r>
      <w:r>
        <w:rPr>
          <w:rFonts w:hint="eastAsia" w:ascii="仿宋" w:hAnsi="仿宋" w:eastAsia="仿宋"/>
          <w:color w:val="auto"/>
          <w:sz w:val="32"/>
          <w:szCs w:val="32"/>
          <w:highlight w:val="none"/>
        </w:rPr>
        <w:t>万元，主要包括：基本工资、津贴补贴、奖金、伙食补助费、绩效工资、机关事业单位基本养老保险缴费、职业年金缴费、</w:t>
      </w:r>
      <w:r>
        <w:rPr>
          <w:rFonts w:hint="eastAsia" w:ascii="仿宋" w:hAnsi="仿宋" w:eastAsia="仿宋"/>
          <w:color w:val="auto"/>
          <w:sz w:val="32"/>
          <w:szCs w:val="32"/>
          <w:highlight w:val="none"/>
          <w:lang w:eastAsia="zh-CN"/>
        </w:rPr>
        <w:t>职工基本医疗保险缴费、</w:t>
      </w:r>
      <w:r>
        <w:rPr>
          <w:rFonts w:hint="eastAsia" w:ascii="仿宋" w:hAnsi="仿宋" w:eastAsia="仿宋"/>
          <w:color w:val="auto"/>
          <w:sz w:val="32"/>
          <w:szCs w:val="32"/>
          <w:highlight w:val="none"/>
        </w:rPr>
        <w:t>其他社会保障缴费、</w:t>
      </w:r>
      <w:r>
        <w:rPr>
          <w:rFonts w:hint="eastAsia" w:ascii="仿宋" w:hAnsi="仿宋" w:eastAsia="仿宋"/>
          <w:color w:val="auto"/>
          <w:sz w:val="32"/>
          <w:szCs w:val="32"/>
          <w:highlight w:val="none"/>
          <w:lang w:eastAsia="zh-CN"/>
        </w:rPr>
        <w:t>住房公积金、</w:t>
      </w:r>
      <w:r>
        <w:rPr>
          <w:rFonts w:hint="eastAsia" w:ascii="仿宋" w:hAnsi="仿宋" w:eastAsia="仿宋"/>
          <w:color w:val="auto"/>
          <w:sz w:val="32"/>
          <w:szCs w:val="32"/>
          <w:highlight w:val="none"/>
        </w:rPr>
        <w:t>其他工资福利支出、生活补助。</w:t>
      </w:r>
    </w:p>
    <w:p>
      <w:pPr>
        <w:spacing w:line="600" w:lineRule="exact"/>
        <w:ind w:firstLine="645"/>
        <w:rPr>
          <w:rFonts w:ascii="仿宋" w:hAnsi="仿宋" w:eastAsia="仿宋"/>
          <w:color w:val="auto"/>
          <w:sz w:val="32"/>
          <w:szCs w:val="32"/>
          <w:highlight w:val="none"/>
        </w:rPr>
      </w:pPr>
      <w:r>
        <w:rPr>
          <w:rFonts w:hint="eastAsia" w:ascii="仿宋" w:hAnsi="仿宋" w:eastAsia="仿宋"/>
          <w:color w:val="auto"/>
          <w:sz w:val="32"/>
          <w:szCs w:val="32"/>
          <w:highlight w:val="none"/>
        </w:rPr>
        <w:t>公用经费</w:t>
      </w:r>
      <w:r>
        <w:rPr>
          <w:rFonts w:hint="eastAsia" w:ascii="仿宋" w:hAnsi="仿宋" w:eastAsia="仿宋"/>
          <w:color w:val="auto"/>
          <w:sz w:val="32"/>
          <w:szCs w:val="32"/>
          <w:highlight w:val="none"/>
          <w:lang w:val="en-US" w:eastAsia="zh-CN"/>
        </w:rPr>
        <w:t>21.68</w:t>
      </w:r>
      <w:r>
        <w:rPr>
          <w:rFonts w:hint="eastAsia" w:ascii="仿宋" w:hAnsi="仿宋" w:eastAsia="仿宋"/>
          <w:color w:val="auto"/>
          <w:sz w:val="32"/>
          <w:szCs w:val="32"/>
          <w:highlight w:val="none"/>
        </w:rPr>
        <w:t>万元，主要包括：办公费、水费、邮电费、差旅费、维修（护）费、劳务费、工会经费、福利费、其他交通费</w:t>
      </w:r>
      <w:r>
        <w:rPr>
          <w:rFonts w:hint="eastAsia" w:ascii="仿宋" w:hAnsi="仿宋" w:eastAsia="仿宋"/>
          <w:color w:val="auto"/>
          <w:sz w:val="32"/>
          <w:szCs w:val="32"/>
          <w:highlight w:val="none"/>
          <w:lang w:val="en-US" w:eastAsia="zh-CN"/>
        </w:rPr>
        <w:t>用</w:t>
      </w:r>
      <w:r>
        <w:rPr>
          <w:rFonts w:hint="eastAsia" w:ascii="仿宋" w:hAnsi="仿宋" w:eastAsia="仿宋"/>
          <w:color w:val="auto"/>
          <w:sz w:val="32"/>
          <w:szCs w:val="32"/>
          <w:highlight w:val="none"/>
        </w:rPr>
        <w:t>、其他商品和服务支出。</w:t>
      </w:r>
    </w:p>
    <w:p>
      <w:pPr>
        <w:spacing w:line="600" w:lineRule="exact"/>
        <w:ind w:firstLine="640"/>
        <w:outlineLvl w:val="1"/>
        <w:rPr>
          <w:rStyle w:val="21"/>
          <w:rFonts w:ascii="黑体" w:hAnsi="黑体" w:eastAsia="黑体"/>
          <w:b w:val="0"/>
          <w:color w:val="auto"/>
          <w:highlight w:val="none"/>
        </w:rPr>
      </w:pPr>
      <w:bookmarkStart w:id="61" w:name="_Toc15377215"/>
      <w:bookmarkStart w:id="62" w:name="_Toc4935"/>
      <w:bookmarkStart w:id="63" w:name="_Toc15396609"/>
      <w:r>
        <w:rPr>
          <w:rFonts w:hint="eastAsia" w:ascii="黑体" w:eastAsia="黑体"/>
          <w:color w:val="auto"/>
          <w:sz w:val="32"/>
          <w:szCs w:val="32"/>
          <w:highlight w:val="none"/>
        </w:rPr>
        <w:t>七、</w:t>
      </w:r>
      <w:r>
        <w:rPr>
          <w:rStyle w:val="21"/>
          <w:rFonts w:hint="eastAsia" w:ascii="黑体" w:hAnsi="黑体" w:eastAsia="黑体"/>
          <w:b w:val="0"/>
          <w:color w:val="auto"/>
          <w:highlight w:val="none"/>
        </w:rPr>
        <w:t>财政拨款</w:t>
      </w:r>
      <w:r>
        <w:rPr>
          <w:rStyle w:val="21"/>
          <w:rFonts w:hint="eastAsia" w:ascii="黑体" w:hAnsi="黑体" w:eastAsia="黑体"/>
          <w:color w:val="auto"/>
          <w:highlight w:val="none"/>
        </w:rPr>
        <w:t>“</w:t>
      </w:r>
      <w:r>
        <w:rPr>
          <w:rStyle w:val="21"/>
          <w:rFonts w:hint="eastAsia" w:ascii="黑体" w:hAnsi="黑体" w:eastAsia="黑体"/>
          <w:b w:val="0"/>
          <w:color w:val="auto"/>
          <w:highlight w:val="none"/>
        </w:rPr>
        <w:t>三公”经费支出决算情况说明</w:t>
      </w:r>
      <w:bookmarkEnd w:id="61"/>
      <w:bookmarkEnd w:id="62"/>
      <w:bookmarkEnd w:id="63"/>
    </w:p>
    <w:p>
      <w:pPr>
        <w:spacing w:line="600" w:lineRule="exact"/>
        <w:ind w:firstLine="640"/>
        <w:outlineLvl w:val="2"/>
        <w:rPr>
          <w:rFonts w:ascii="仿宋" w:hAnsi="仿宋" w:eastAsia="仿宋"/>
          <w:b/>
          <w:color w:val="auto"/>
          <w:sz w:val="32"/>
          <w:szCs w:val="32"/>
          <w:highlight w:val="none"/>
        </w:rPr>
      </w:pPr>
      <w:bookmarkStart w:id="64" w:name="_Toc15377216"/>
      <w:r>
        <w:rPr>
          <w:rFonts w:hint="eastAsia" w:ascii="仿宋" w:hAnsi="仿宋" w:eastAsia="仿宋"/>
          <w:b/>
          <w:color w:val="auto"/>
          <w:sz w:val="32"/>
          <w:szCs w:val="32"/>
          <w:highlight w:val="none"/>
        </w:rPr>
        <w:t>（一）“三公”经费财政拨款支出决算总体情况说明</w:t>
      </w:r>
      <w:bookmarkEnd w:id="64"/>
    </w:p>
    <w:p>
      <w:pPr>
        <w:spacing w:line="600" w:lineRule="exact"/>
        <w:ind w:firstLine="640"/>
        <w:rPr>
          <w:rFonts w:ascii="仿宋" w:hAnsi="仿宋" w:eastAsia="仿宋"/>
          <w:b/>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w:t>
      </w:r>
      <w:r>
        <w:rPr>
          <w:rFonts w:hint="default" w:ascii="仿宋" w:hAnsi="仿宋" w:eastAsia="仿宋"/>
          <w:color w:val="auto"/>
          <w:sz w:val="32"/>
          <w:szCs w:val="32"/>
          <w:highlight w:val="none"/>
        </w:rPr>
        <w:t>年初未安排预算，与上年比无变化</w:t>
      </w:r>
      <w:r>
        <w:rPr>
          <w:rFonts w:hint="eastAsia" w:ascii="仿宋" w:hAnsi="仿宋" w:eastAsia="仿宋"/>
          <w:color w:val="auto"/>
          <w:sz w:val="32"/>
          <w:szCs w:val="32"/>
          <w:highlight w:val="none"/>
        </w:rPr>
        <w:t>。</w:t>
      </w:r>
    </w:p>
    <w:p>
      <w:pPr>
        <w:spacing w:line="600" w:lineRule="exact"/>
        <w:ind w:firstLine="640"/>
        <w:outlineLvl w:val="2"/>
        <w:rPr>
          <w:rFonts w:ascii="仿宋" w:hAnsi="仿宋" w:eastAsia="仿宋"/>
          <w:b/>
          <w:color w:val="auto"/>
          <w:sz w:val="32"/>
          <w:szCs w:val="32"/>
          <w:highlight w:val="none"/>
        </w:rPr>
      </w:pPr>
      <w:bookmarkStart w:id="65" w:name="_Toc15377217"/>
      <w:r>
        <w:rPr>
          <w:rFonts w:hint="eastAsia" w:ascii="仿宋" w:hAnsi="仿宋" w:eastAsia="仿宋"/>
          <w:b/>
          <w:color w:val="auto"/>
          <w:sz w:val="32"/>
          <w:szCs w:val="32"/>
          <w:highlight w:val="none"/>
        </w:rPr>
        <w:t>（二）“三公”经费财政拨款支出决算具体情况说明</w:t>
      </w:r>
      <w:bookmarkEnd w:id="65"/>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；公务用车购置及运行维护费支出决算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spacing w:line="600" w:lineRule="exact"/>
        <w:ind w:firstLine="640"/>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Style w:val="18"/>
          <w:rFonts w:hint="eastAsia" w:ascii="仿宋" w:hAnsi="仿宋" w:eastAsia="仿宋"/>
          <w:b w:val="0"/>
          <w:bCs/>
          <w:color w:val="auto"/>
          <w:sz w:val="32"/>
          <w:szCs w:val="32"/>
          <w:highlight w:val="none"/>
        </w:rPr>
        <w:t>完成预算</w:t>
      </w:r>
      <w:r>
        <w:rPr>
          <w:rStyle w:val="18"/>
          <w:rFonts w:hint="eastAsia" w:ascii="仿宋" w:hAnsi="仿宋" w:eastAsia="仿宋"/>
          <w:b w:val="0"/>
          <w:bCs/>
          <w:color w:val="auto"/>
          <w:sz w:val="32"/>
          <w:szCs w:val="32"/>
          <w:highlight w:val="none"/>
          <w:lang w:val="en-US" w:eastAsia="zh-CN"/>
        </w:rPr>
        <w:t>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全年安排因公出国（境）团组</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次，出国（境）</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w:t>
      </w:r>
      <w:r>
        <w:rPr>
          <w:rFonts w:hint="eastAsia" w:ascii="仿宋_GB2312" w:hAnsi="Times New Roman" w:eastAsia="仿宋_GB2312" w:cs="Times New Roman"/>
          <w:color w:val="auto"/>
          <w:sz w:val="32"/>
          <w:szCs w:val="32"/>
          <w:highlight w:val="none"/>
          <w:lang w:val="en-US" w:eastAsia="zh-CN"/>
        </w:rPr>
        <w:t>因公出国</w:t>
      </w:r>
      <w:r>
        <w:rPr>
          <w:rFonts w:hint="eastAsia" w:ascii="仿宋_GB2312" w:hAnsi="Times New Roman" w:eastAsia="仿宋_GB2312" w:cs="Times New Roman"/>
          <w:color w:val="auto"/>
          <w:sz w:val="32"/>
          <w:szCs w:val="32"/>
          <w:highlight w:val="none"/>
        </w:rPr>
        <w:t>（境）</w:t>
      </w:r>
      <w:r>
        <w:rPr>
          <w:rFonts w:hint="eastAsia" w:ascii="仿宋_GB2312" w:hAnsi="Times New Roman" w:eastAsia="仿宋_GB2312" w:cs="Times New Roman"/>
          <w:color w:val="auto"/>
          <w:sz w:val="32"/>
          <w:szCs w:val="32"/>
          <w:highlight w:val="none"/>
          <w:lang w:val="en-US" w:eastAsia="zh-CN"/>
        </w:rPr>
        <w:t>经费支出0万元，年初未安排预算</w:t>
      </w:r>
      <w:r>
        <w:rPr>
          <w:rFonts w:hint="default" w:ascii="仿宋_GB2312" w:eastAsia="仿宋_GB2312" w:cs="Times New Roman"/>
          <w:color w:val="auto"/>
          <w:sz w:val="32"/>
          <w:szCs w:val="32"/>
          <w:highlight w:val="none"/>
          <w:lang w:eastAsia="zh-CN"/>
        </w:rPr>
        <w:t>，较上年无变化</w:t>
      </w:r>
      <w:r>
        <w:rPr>
          <w:rFonts w:hint="eastAsia" w:ascii="仿宋_GB2312" w:hAnsi="Times New Roman" w:eastAsia="仿宋_GB2312" w:cs="Times New Roman"/>
          <w:color w:val="auto"/>
          <w:sz w:val="32"/>
          <w:szCs w:val="32"/>
          <w:highlight w:val="none"/>
        </w:rPr>
        <w:t>。</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Style w:val="18"/>
          <w:rFonts w:hint="eastAsia" w:ascii="仿宋" w:hAnsi="仿宋" w:eastAsia="仿宋"/>
          <w:b w:val="0"/>
          <w:bCs/>
          <w:color w:val="auto"/>
          <w:sz w:val="32"/>
          <w:szCs w:val="32"/>
          <w:highlight w:val="none"/>
        </w:rPr>
        <w:t>完成预算</w:t>
      </w:r>
      <w:r>
        <w:rPr>
          <w:rStyle w:val="18"/>
          <w:rFonts w:hint="eastAsia" w:ascii="仿宋" w:hAnsi="仿宋" w:eastAsia="仿宋"/>
          <w:b w:val="0"/>
          <w:bCs/>
          <w:color w:val="auto"/>
          <w:sz w:val="32"/>
          <w:szCs w:val="32"/>
          <w:highlight w:val="none"/>
          <w:lang w:val="en-US" w:eastAsia="zh-CN"/>
        </w:rPr>
        <w:t>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公务用车购置及运行维护费支出决算比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default" w:ascii="仿宋_GB2312" w:eastAsia="仿宋_GB2312"/>
          <w:color w:val="auto"/>
          <w:sz w:val="32"/>
          <w:szCs w:val="32"/>
          <w:highlight w:val="none"/>
        </w:rPr>
        <w:t>无变化</w:t>
      </w:r>
      <w:r>
        <w:rPr>
          <w:rFonts w:hint="eastAsia" w:ascii="仿宋_GB2312" w:eastAsia="仿宋_GB2312"/>
          <w:color w:val="auto"/>
          <w:sz w:val="32"/>
          <w:szCs w:val="32"/>
          <w:highlight w:val="none"/>
        </w:rPr>
        <w:t>。</w:t>
      </w:r>
      <w:r>
        <w:rPr>
          <w:rFonts w:hint="default" w:ascii="仿宋_GB2312" w:eastAsia="仿宋_GB2312"/>
          <w:color w:val="auto"/>
          <w:sz w:val="32"/>
          <w:szCs w:val="32"/>
          <w:highlight w:val="none"/>
        </w:rPr>
        <w:t>截至2022年12月底我单位</w:t>
      </w:r>
      <w:r>
        <w:rPr>
          <w:rFonts w:hint="eastAsia" w:ascii="仿宋_GB2312" w:hAnsi="Times New Roman" w:eastAsia="仿宋_GB2312" w:cs="Times New Roman"/>
          <w:color w:val="auto"/>
          <w:sz w:val="32"/>
          <w:szCs w:val="32"/>
          <w:highlight w:val="none"/>
          <w:lang w:val="en-US" w:eastAsia="zh-CN"/>
        </w:rPr>
        <w:t>无公务用车保有量</w:t>
      </w:r>
      <w:r>
        <w:rPr>
          <w:rFonts w:hint="eastAsia" w:ascii="仿宋_GB2312" w:eastAsia="仿宋_GB2312"/>
          <w:color w:val="auto"/>
          <w:sz w:val="32"/>
          <w:szCs w:val="32"/>
          <w:highlight w:val="none"/>
        </w:rPr>
        <w:t>。</w:t>
      </w:r>
    </w:p>
    <w:p>
      <w:pPr>
        <w:spacing w:line="600" w:lineRule="exact"/>
        <w:ind w:firstLine="645"/>
        <w:rPr>
          <w:rFonts w:hint="eastAsia" w:ascii="仿宋_GB2312" w:hAnsi="Times New Roman" w:eastAsia="仿宋_GB2312" w:cs="Times New Roman"/>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hAnsi="Times New Roman" w:eastAsia="仿宋_GB2312" w:cs="Times New Roman"/>
          <w:color w:val="auto"/>
          <w:sz w:val="32"/>
          <w:szCs w:val="32"/>
          <w:highlight w:val="none"/>
          <w:lang w:val="en-US" w:eastAsia="zh-CN"/>
        </w:rPr>
        <w:t>公务接待费年初无预算</w:t>
      </w:r>
      <w:r>
        <w:rPr>
          <w:rFonts w:hint="default" w:ascii="仿宋_GB2312" w:eastAsia="仿宋_GB2312" w:cs="Times New Roman"/>
          <w:color w:val="auto"/>
          <w:sz w:val="32"/>
          <w:szCs w:val="32"/>
          <w:highlight w:val="none"/>
          <w:lang w:eastAsia="zh-CN"/>
        </w:rPr>
        <w:t>，较上年无变化</w:t>
      </w:r>
      <w:r>
        <w:rPr>
          <w:rFonts w:hint="eastAsia" w:ascii="仿宋_GB2312" w:hAnsi="Times New Roman" w:eastAsia="仿宋_GB2312" w:cs="Times New Roman"/>
          <w:color w:val="auto"/>
          <w:sz w:val="32"/>
          <w:szCs w:val="32"/>
          <w:highlight w:val="none"/>
        </w:rPr>
        <w:t>。</w:t>
      </w:r>
      <w:bookmarkStart w:id="66" w:name="_Toc15377218"/>
      <w:bookmarkStart w:id="67" w:name="_Toc15396610"/>
    </w:p>
    <w:p>
      <w:pPr>
        <w:spacing w:line="600" w:lineRule="exact"/>
        <w:ind w:firstLine="640"/>
        <w:outlineLvl w:val="1"/>
        <w:rPr>
          <w:rStyle w:val="21"/>
          <w:rFonts w:ascii="黑体" w:hAnsi="黑体" w:eastAsia="黑体"/>
          <w:color w:val="auto"/>
          <w:highlight w:val="none"/>
        </w:rPr>
      </w:pPr>
      <w:bookmarkStart w:id="68" w:name="_Toc8981"/>
      <w:r>
        <w:rPr>
          <w:rFonts w:hint="eastAsia" w:ascii="黑体" w:eastAsia="黑体"/>
          <w:color w:val="auto"/>
          <w:sz w:val="32"/>
          <w:szCs w:val="32"/>
          <w:highlight w:val="none"/>
        </w:rPr>
        <w:t>八、</w:t>
      </w:r>
      <w:r>
        <w:rPr>
          <w:rStyle w:val="21"/>
          <w:rFonts w:hint="eastAsia" w:ascii="黑体" w:hAnsi="黑体" w:eastAsia="黑体"/>
          <w:b w:val="0"/>
          <w:color w:val="auto"/>
          <w:highlight w:val="none"/>
        </w:rPr>
        <w:t>政府性基金预算支出决算情况说明</w:t>
      </w:r>
      <w:bookmarkEnd w:id="66"/>
      <w:bookmarkEnd w:id="67"/>
      <w:bookmarkEnd w:id="68"/>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3"/>
        </w:numPr>
        <w:spacing w:line="600" w:lineRule="exact"/>
        <w:ind w:firstLine="640"/>
        <w:outlineLvl w:val="1"/>
        <w:rPr>
          <w:rStyle w:val="21"/>
          <w:rFonts w:ascii="黑体" w:hAnsi="黑体" w:eastAsia="黑体"/>
          <w:b w:val="0"/>
          <w:color w:val="auto"/>
          <w:highlight w:val="none"/>
        </w:rPr>
      </w:pPr>
      <w:bookmarkStart w:id="69" w:name="_Toc15377219"/>
      <w:bookmarkStart w:id="70" w:name="_Toc31438"/>
      <w:bookmarkStart w:id="71" w:name="_Toc15396611"/>
      <w:r>
        <w:rPr>
          <w:rStyle w:val="21"/>
          <w:rFonts w:hint="eastAsia" w:ascii="黑体" w:hAnsi="黑体" w:eastAsia="黑体"/>
          <w:b w:val="0"/>
          <w:color w:val="auto"/>
          <w:highlight w:val="none"/>
        </w:rPr>
        <w:t>国有资本经营预算支出决算情况说明</w:t>
      </w:r>
      <w:bookmarkEnd w:id="69"/>
      <w:bookmarkEnd w:id="70"/>
      <w:bookmarkEnd w:id="71"/>
    </w:p>
    <w:p>
      <w:pPr>
        <w:spacing w:line="600" w:lineRule="exact"/>
        <w:ind w:firstLine="640"/>
        <w:rPr>
          <w:rFonts w:ascii="方正小标宋简体" w:hAnsi="方正小标宋简体" w:eastAsia="方正小标宋简体" w:cs="方正小标宋简体"/>
          <w:color w:val="auto"/>
          <w:sz w:val="44"/>
          <w:szCs w:val="44"/>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3"/>
        </w:numPr>
        <w:spacing w:line="600" w:lineRule="exact"/>
        <w:ind w:firstLine="640"/>
        <w:outlineLvl w:val="1"/>
        <w:rPr>
          <w:rStyle w:val="21"/>
          <w:rFonts w:hint="eastAsia" w:ascii="黑体" w:hAnsi="黑体" w:eastAsia="黑体"/>
          <w:b w:val="0"/>
          <w:color w:val="auto"/>
          <w:highlight w:val="none"/>
        </w:rPr>
      </w:pPr>
      <w:bookmarkStart w:id="72" w:name="_Toc15396612"/>
      <w:bookmarkStart w:id="73" w:name="_Toc22883"/>
      <w:bookmarkStart w:id="74" w:name="_Toc15377221"/>
      <w:r>
        <w:rPr>
          <w:rStyle w:val="21"/>
          <w:rFonts w:hint="eastAsia" w:ascii="黑体" w:hAnsi="黑体" w:eastAsia="黑体"/>
          <w:b w:val="0"/>
          <w:color w:val="auto"/>
          <w:highlight w:val="none"/>
        </w:rPr>
        <w:t>其他重要事项的情况说明</w:t>
      </w:r>
      <w:bookmarkEnd w:id="72"/>
      <w:bookmarkEnd w:id="73"/>
      <w:bookmarkEnd w:id="74"/>
    </w:p>
    <w:p>
      <w:pPr>
        <w:spacing w:line="600" w:lineRule="exact"/>
        <w:ind w:firstLine="643" w:firstLineChars="200"/>
        <w:outlineLvl w:val="2"/>
        <w:rPr>
          <w:rFonts w:ascii="仿宋" w:hAnsi="仿宋" w:eastAsia="仿宋"/>
          <w:color w:val="auto"/>
          <w:sz w:val="32"/>
          <w:szCs w:val="32"/>
          <w:highlight w:val="none"/>
        </w:rPr>
      </w:pPr>
      <w:bookmarkStart w:id="75" w:name="_Toc15377222"/>
      <w:r>
        <w:rPr>
          <w:rFonts w:hint="eastAsia" w:ascii="仿宋" w:hAnsi="仿宋" w:eastAsia="仿宋"/>
          <w:b/>
          <w:color w:val="auto"/>
          <w:sz w:val="32"/>
          <w:szCs w:val="32"/>
          <w:highlight w:val="none"/>
        </w:rPr>
        <w:t>（一）机关运行经费支出情况</w:t>
      </w:r>
      <w:bookmarkEnd w:id="75"/>
    </w:p>
    <w:p>
      <w:pPr>
        <w:spacing w:line="600" w:lineRule="exact"/>
        <w:ind w:firstLine="640" w:firstLineChars="200"/>
        <w:rPr>
          <w:rFonts w:ascii="仿宋" w:hAnsi="仿宋" w:eastAsia="仿宋"/>
          <w:b/>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年，广元市人才交流中心机关运行经费支出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hAnsi="Times New Roman" w:eastAsia="仿宋_GB2312" w:cs="Times New Roman"/>
          <w:color w:val="auto"/>
          <w:sz w:val="32"/>
          <w:szCs w:val="32"/>
          <w:highlight w:val="none"/>
          <w:lang w:val="en-US" w:eastAsia="zh-CN"/>
        </w:rPr>
        <w:t>2021年</w:t>
      </w:r>
      <w:r>
        <w:rPr>
          <w:rFonts w:hint="eastAsia" w:ascii="仿宋_GB2312" w:hAnsi="Times New Roman" w:eastAsia="仿宋_GB2312" w:cs="Times New Roman"/>
          <w:color w:val="auto"/>
          <w:sz w:val="32"/>
          <w:szCs w:val="32"/>
          <w:highlight w:val="none"/>
        </w:rPr>
        <w:t>未发生机关运行经费支出</w:t>
      </w:r>
      <w:r>
        <w:rPr>
          <w:rFonts w:hint="eastAsia" w:ascii="仿宋_GB2312" w:hAnsi="Times New Roman" w:eastAsia="仿宋_GB2312" w:cs="Times New Roman"/>
          <w:color w:val="auto"/>
          <w:sz w:val="32"/>
          <w:szCs w:val="32"/>
          <w:highlight w:val="none"/>
          <w:lang w:eastAsia="zh-CN"/>
        </w:rPr>
        <w:t>，</w:t>
      </w:r>
      <w:r>
        <w:rPr>
          <w:rFonts w:hint="eastAsia" w:ascii="仿宋_GB2312" w:eastAsia="仿宋_GB2312"/>
          <w:color w:val="auto"/>
          <w:sz w:val="32"/>
          <w:szCs w:val="32"/>
          <w:highlight w:val="none"/>
        </w:rPr>
        <w:t>与</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年决算数持平。</w:t>
      </w:r>
      <w:bookmarkStart w:id="76" w:name="_Toc15377223"/>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r>
        <w:rPr>
          <w:rFonts w:hint="eastAsia" w:ascii="仿宋" w:hAnsi="仿宋" w:eastAsia="仿宋"/>
          <w:b/>
          <w:color w:val="auto"/>
          <w:sz w:val="32"/>
          <w:szCs w:val="32"/>
          <w:highlight w:val="none"/>
        </w:rPr>
        <w:t>（二）政府采购支出情况</w:t>
      </w:r>
      <w:bookmarkEnd w:id="76"/>
    </w:p>
    <w:p>
      <w:pPr>
        <w:spacing w:line="600" w:lineRule="exact"/>
        <w:ind w:firstLine="640" w:firstLineChars="200"/>
        <w:rPr>
          <w:rFonts w:hint="default"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年，广元市人才交流中心政府采购支出总额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default" w:ascii="仿宋_GB2312" w:eastAsia="仿宋_GB2312"/>
          <w:color w:val="auto"/>
          <w:sz w:val="32"/>
          <w:szCs w:val="32"/>
          <w:highlight w:val="none"/>
        </w:rPr>
        <w:t>。</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77" w:name="_Toc15377224"/>
      <w:r>
        <w:rPr>
          <w:rFonts w:hint="eastAsia" w:ascii="仿宋" w:hAnsi="仿宋" w:eastAsia="仿宋"/>
          <w:b/>
          <w:color w:val="auto"/>
          <w:sz w:val="32"/>
          <w:szCs w:val="32"/>
          <w:highlight w:val="none"/>
        </w:rPr>
        <w:t>（三）国有资产占有使用情况</w:t>
      </w:r>
      <w:bookmarkEnd w:id="77"/>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日，广元市人才交流中心共有车辆</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单价</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万元以上专用设备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w:t>
      </w:r>
    </w:p>
    <w:p>
      <w:pPr>
        <w:autoSpaceDE w:val="0"/>
        <w:autoSpaceDN w:val="0"/>
        <w:adjustRightInd w:val="0"/>
        <w:spacing w:line="600" w:lineRule="exact"/>
        <w:ind w:firstLine="643" w:firstLineChars="200"/>
        <w:jc w:val="left"/>
        <w:outlineLvl w:val="2"/>
        <w:rPr>
          <w:rFonts w:hint="eastAsia" w:ascii="仿宋" w:hAnsi="仿宋" w:eastAsia="仿宋"/>
          <w:b/>
          <w:color w:val="auto"/>
          <w:sz w:val="32"/>
          <w:szCs w:val="32"/>
          <w:highlight w:val="none"/>
          <w:lang w:eastAsia="zh-CN"/>
        </w:rPr>
      </w:pPr>
      <w:r>
        <w:rPr>
          <w:rFonts w:hint="eastAsia" w:ascii="仿宋" w:hAnsi="仿宋" w:eastAsia="仿宋"/>
          <w:b/>
          <w:color w:val="auto"/>
          <w:sz w:val="32"/>
          <w:szCs w:val="32"/>
          <w:highlight w:val="none"/>
        </w:rPr>
        <w:t>（四）预算绩效管理情况</w:t>
      </w:r>
    </w:p>
    <w:p>
      <w:pPr>
        <w:pStyle w:val="2"/>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根据预算绩效管理要求，本单位在202</w:t>
      </w:r>
      <w:r>
        <w:rPr>
          <w:rFonts w:hint="eastAsia" w:hAnsi="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年度预算编制阶段，组织对</w:t>
      </w:r>
      <w:r>
        <w:rPr>
          <w:rFonts w:hint="eastAsia" w:hAnsi="仿宋_GB2312" w:cs="仿宋_GB2312"/>
          <w:color w:val="auto"/>
          <w:sz w:val="32"/>
          <w:szCs w:val="32"/>
          <w:highlight w:val="none"/>
          <w:lang w:val="en-US" w:eastAsia="zh-CN"/>
        </w:rPr>
        <w:t>就业援助工作经费</w:t>
      </w:r>
      <w:r>
        <w:rPr>
          <w:rFonts w:hint="eastAsia" w:ascii="仿宋_GB2312" w:hAnsi="仿宋_GB2312" w:eastAsia="仿宋_GB2312" w:cs="仿宋_GB2312"/>
          <w:color w:val="auto"/>
          <w:sz w:val="32"/>
          <w:szCs w:val="32"/>
          <w:highlight w:val="none"/>
        </w:rPr>
        <w:t>等</w:t>
      </w:r>
      <w:r>
        <w:rPr>
          <w:rFonts w:hint="eastAsia" w:hAnsi="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个项目开展了预算事前绩效评估，对</w:t>
      </w:r>
      <w:r>
        <w:rPr>
          <w:rFonts w:hint="eastAsia" w:hAnsi="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个项目编制了绩效目标，预算执行过程中，选取</w:t>
      </w:r>
      <w:r>
        <w:rPr>
          <w:rFonts w:hint="eastAsia" w:hAnsi="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个项目开展绩效监控，组织对</w:t>
      </w:r>
      <w:r>
        <w:rPr>
          <w:rFonts w:hint="eastAsia" w:hAnsi="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个项目开展绩效自评，绩效自评表详见</w:t>
      </w:r>
      <w:r>
        <w:rPr>
          <w:rFonts w:hint="eastAsia" w:hAnsi="仿宋_GB2312" w:cs="仿宋_GB2312"/>
          <w:color w:val="auto"/>
          <w:sz w:val="32"/>
          <w:szCs w:val="32"/>
          <w:highlight w:val="none"/>
          <w:lang w:eastAsia="zh-CN"/>
        </w:rPr>
        <w:t>第四部分</w:t>
      </w:r>
      <w:r>
        <w:rPr>
          <w:rFonts w:hint="eastAsia" w:ascii="仿宋_GB2312" w:hAnsi="仿宋_GB2312" w:eastAsia="仿宋_GB2312" w:cs="仿宋_GB2312"/>
          <w:color w:val="auto"/>
          <w:sz w:val="32"/>
          <w:szCs w:val="32"/>
          <w:highlight w:val="none"/>
        </w:rPr>
        <w:t>附件。</w:t>
      </w: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numPr>
          <w:ilvl w:val="0"/>
          <w:numId w:val="4"/>
        </w:numPr>
        <w:spacing w:line="600" w:lineRule="exact"/>
        <w:ind w:firstLine="660" w:firstLineChars="150"/>
        <w:jc w:val="center"/>
        <w:outlineLvl w:val="0"/>
        <w:rPr>
          <w:rStyle w:val="20"/>
          <w:rFonts w:ascii="黑体" w:hAnsi="黑体" w:eastAsia="黑体"/>
          <w:b w:val="0"/>
          <w:color w:val="auto"/>
          <w:highlight w:val="none"/>
        </w:rPr>
      </w:pPr>
      <w:bookmarkStart w:id="78" w:name="_Toc23250"/>
      <w:bookmarkStart w:id="79" w:name="_Toc15396613"/>
      <w:bookmarkStart w:id="80" w:name="_Toc15377225"/>
      <w:r>
        <w:rPr>
          <w:rFonts w:hint="eastAsia" w:ascii="黑体" w:hAnsi="黑体" w:eastAsia="黑体"/>
          <w:color w:val="auto"/>
          <w:sz w:val="44"/>
          <w:szCs w:val="44"/>
          <w:highlight w:val="none"/>
        </w:rPr>
        <w:t>名</w:t>
      </w:r>
      <w:r>
        <w:rPr>
          <w:rStyle w:val="20"/>
          <w:rFonts w:hint="eastAsia" w:ascii="黑体" w:hAnsi="黑体" w:eastAsia="黑体"/>
          <w:b w:val="0"/>
          <w:color w:val="auto"/>
          <w:highlight w:val="none"/>
        </w:rPr>
        <w:t>词解释</w:t>
      </w:r>
      <w:bookmarkEnd w:id="78"/>
      <w:bookmarkEnd w:id="79"/>
      <w:bookmarkEnd w:id="80"/>
    </w:p>
    <w:p>
      <w:pPr>
        <w:spacing w:line="600" w:lineRule="exact"/>
        <w:jc w:val="left"/>
        <w:rPr>
          <w:rFonts w:ascii="宋体"/>
          <w:b/>
          <w:color w:val="auto"/>
          <w:sz w:val="44"/>
          <w:szCs w:val="44"/>
          <w:highlight w:val="none"/>
        </w:rPr>
      </w:pPr>
    </w:p>
    <w:p>
      <w:pPr>
        <w:pStyle w:val="29"/>
        <w:keepNext w:val="0"/>
        <w:keepLines w:val="0"/>
        <w:pageBreakBefore w:val="0"/>
        <w:widowControl w:val="0"/>
        <w:numPr>
          <w:ilvl w:val="0"/>
          <w:numId w:val="5"/>
        </w:numPr>
        <w:shd w:val="clear"/>
        <w:kinsoku/>
        <w:wordWrap/>
        <w:overflowPunct/>
        <w:topLinePunct w:val="0"/>
        <w:bidi w:val="0"/>
        <w:snapToGrid/>
        <w:spacing w:line="560" w:lineRule="exact"/>
        <w:ind w:left="0" w:leftChars="0" w:firstLine="400" w:firstLineChars="0"/>
        <w:textAlignment w:val="auto"/>
        <w:outlineLvl w:val="1"/>
        <w:rPr>
          <w:rFonts w:ascii="仿宋_GB2312" w:eastAsia="仿宋_GB2312"/>
          <w:color w:val="auto"/>
          <w:sz w:val="32"/>
          <w:szCs w:val="32"/>
          <w:highlight w:val="none"/>
        </w:rPr>
      </w:pPr>
      <w:bookmarkStart w:id="81" w:name="_Toc23141"/>
      <w:bookmarkStart w:id="82" w:name="_Toc21420"/>
      <w:r>
        <w:rPr>
          <w:rFonts w:hint="eastAsia" w:ascii="仿宋_GB2312" w:eastAsia="仿宋_GB2312"/>
          <w:color w:val="auto"/>
          <w:sz w:val="32"/>
          <w:szCs w:val="32"/>
          <w:highlight w:val="none"/>
        </w:rPr>
        <w:t>财政拨款收入：指单位从同级财政部门取得的财政预算资金。</w:t>
      </w:r>
      <w:bookmarkEnd w:id="81"/>
      <w:bookmarkEnd w:id="82"/>
    </w:p>
    <w:p>
      <w:pPr>
        <w:pStyle w:val="29"/>
        <w:keepNext w:val="0"/>
        <w:keepLines w:val="0"/>
        <w:pageBreakBefore w:val="0"/>
        <w:widowControl w:val="0"/>
        <w:numPr>
          <w:ilvl w:val="0"/>
          <w:numId w:val="5"/>
        </w:numPr>
        <w:shd w:val="clear"/>
        <w:kinsoku/>
        <w:wordWrap/>
        <w:overflowPunct/>
        <w:topLinePunct w:val="0"/>
        <w:bidi w:val="0"/>
        <w:snapToGrid/>
        <w:spacing w:line="560" w:lineRule="exact"/>
        <w:ind w:left="0" w:leftChars="0" w:firstLine="400" w:firstLineChars="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年初结转和结余：指以前年度尚未完成、结转到本年按有关规定继续使用的资金。</w:t>
      </w:r>
    </w:p>
    <w:p>
      <w:pPr>
        <w:pStyle w:val="29"/>
        <w:keepNext w:val="0"/>
        <w:keepLines w:val="0"/>
        <w:pageBreakBefore w:val="0"/>
        <w:widowControl w:val="0"/>
        <w:numPr>
          <w:ilvl w:val="0"/>
          <w:numId w:val="5"/>
        </w:numPr>
        <w:shd w:val="clear"/>
        <w:kinsoku/>
        <w:wordWrap/>
        <w:overflowPunct/>
        <w:topLinePunct w:val="0"/>
        <w:bidi w:val="0"/>
        <w:snapToGrid/>
        <w:spacing w:line="560" w:lineRule="exact"/>
        <w:ind w:left="0" w:leftChars="0" w:firstLine="400" w:firstLineChars="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年末结转和结余：指单位按有关规定结转到下年或以后年度继续使用的资金。</w:t>
      </w:r>
    </w:p>
    <w:p>
      <w:pPr>
        <w:pStyle w:val="29"/>
        <w:keepNext w:val="0"/>
        <w:keepLines w:val="0"/>
        <w:pageBreakBefore w:val="0"/>
        <w:widowControl w:val="0"/>
        <w:numPr>
          <w:ilvl w:val="0"/>
          <w:numId w:val="5"/>
        </w:numPr>
        <w:shd w:val="clear"/>
        <w:kinsoku/>
        <w:wordWrap/>
        <w:overflowPunct/>
        <w:topLinePunct w:val="0"/>
        <w:bidi w:val="0"/>
        <w:snapToGrid/>
        <w:spacing w:line="560" w:lineRule="exact"/>
        <w:ind w:left="0" w:leftChars="0" w:firstLine="400" w:firstLineChars="0"/>
        <w:textAlignment w:val="auto"/>
        <w:rPr>
          <w:rFonts w:hint="eastAsia" w:ascii="仿宋_GB2312" w:hAnsi="Calibri" w:eastAsia="仿宋_GB2312" w:cs="仿宋"/>
          <w:color w:val="auto"/>
          <w:kern w:val="0"/>
          <w:sz w:val="32"/>
          <w:szCs w:val="32"/>
          <w:highlight w:val="none"/>
        </w:rPr>
      </w:pPr>
      <w:r>
        <w:rPr>
          <w:rFonts w:hint="eastAsia" w:ascii="仿宋_GB2312" w:hAnsi="Calibri" w:eastAsia="仿宋_GB2312" w:cs="仿宋"/>
          <w:color w:val="auto"/>
          <w:kern w:val="0"/>
          <w:sz w:val="32"/>
          <w:szCs w:val="32"/>
          <w:highlight w:val="none"/>
        </w:rPr>
        <w:t>社会保障和就业支出（类）人力资源和社会保障管理事务（款）就业管理事务（项）：</w:t>
      </w:r>
      <w:r>
        <w:rPr>
          <w:rFonts w:hint="eastAsia" w:ascii="仿宋_GB2312" w:eastAsia="仿宋_GB2312"/>
          <w:color w:val="auto"/>
          <w:sz w:val="32"/>
          <w:szCs w:val="32"/>
          <w:highlight w:val="none"/>
        </w:rPr>
        <w:t>反映就业</w:t>
      </w:r>
      <w:r>
        <w:rPr>
          <w:rFonts w:ascii="仿宋_GB2312" w:eastAsia="仿宋_GB2312"/>
          <w:color w:val="auto"/>
          <w:sz w:val="32"/>
          <w:szCs w:val="32"/>
          <w:highlight w:val="none"/>
        </w:rPr>
        <w:t>和职业技能鉴定管理方面的支出</w:t>
      </w:r>
      <w:r>
        <w:rPr>
          <w:rFonts w:hint="eastAsia" w:ascii="仿宋_GB2312" w:eastAsia="仿宋_GB2312"/>
          <w:color w:val="auto"/>
          <w:sz w:val="32"/>
          <w:szCs w:val="32"/>
          <w:highlight w:val="none"/>
        </w:rPr>
        <w:t>。</w:t>
      </w:r>
    </w:p>
    <w:p>
      <w:pPr>
        <w:keepNext w:val="0"/>
        <w:keepLines w:val="0"/>
        <w:pageBreakBefore w:val="0"/>
        <w:widowControl w:val="0"/>
        <w:numPr>
          <w:ilvl w:val="0"/>
          <w:numId w:val="5"/>
        </w:numPr>
        <w:shd w:val="clear"/>
        <w:kinsoku/>
        <w:wordWrap/>
        <w:overflowPunct/>
        <w:topLinePunct w:val="0"/>
        <w:autoSpaceDE/>
        <w:autoSpaceDN/>
        <w:bidi w:val="0"/>
        <w:adjustRightInd/>
        <w:snapToGrid/>
        <w:ind w:left="0" w:leftChars="0" w:firstLine="400" w:firstLineChars="0"/>
        <w:textAlignment w:val="auto"/>
        <w:rPr>
          <w:rFonts w:hint="eastAsia" w:ascii="仿宋_GB2312" w:hAnsi="Calibri" w:eastAsia="仿宋_GB2312" w:cs="仿宋"/>
          <w:color w:val="auto"/>
          <w:kern w:val="0"/>
          <w:sz w:val="32"/>
          <w:szCs w:val="32"/>
          <w:highlight w:val="none"/>
        </w:rPr>
      </w:pPr>
      <w:r>
        <w:rPr>
          <w:rFonts w:hint="eastAsia" w:ascii="仿宋_GB2312" w:hAnsi="Calibri" w:eastAsia="仿宋_GB2312" w:cs="仿宋"/>
          <w:color w:val="auto"/>
          <w:kern w:val="0"/>
          <w:sz w:val="32"/>
          <w:szCs w:val="32"/>
          <w:highlight w:val="none"/>
        </w:rPr>
        <w:t>社会保障和就业支出（类）人力资源和社会保障管理事务（款）信息化建设（项）：</w:t>
      </w:r>
      <w:r>
        <w:rPr>
          <w:rFonts w:hint="eastAsia" w:ascii="仿宋_GB2312" w:eastAsia="仿宋_GB2312"/>
          <w:color w:val="auto"/>
          <w:sz w:val="32"/>
          <w:szCs w:val="32"/>
          <w:highlight w:val="none"/>
        </w:rPr>
        <w:t>反映人力资源和社会保障</w:t>
      </w:r>
      <w:r>
        <w:rPr>
          <w:rFonts w:hint="eastAsia" w:ascii="仿宋_GB2312" w:eastAsia="仿宋_GB2312"/>
          <w:color w:val="auto"/>
          <w:sz w:val="32"/>
          <w:szCs w:val="32"/>
          <w:highlight w:val="none"/>
          <w:lang w:eastAsia="zh-CN"/>
        </w:rPr>
        <w:t>单位</w:t>
      </w:r>
      <w:r>
        <w:rPr>
          <w:rFonts w:hint="eastAsia" w:ascii="仿宋_GB2312" w:eastAsia="仿宋_GB2312"/>
          <w:color w:val="auto"/>
          <w:sz w:val="32"/>
          <w:szCs w:val="32"/>
          <w:highlight w:val="none"/>
        </w:rPr>
        <w:t>用于信息化建设、运行维护和数据分析等方面的支出，如：金保工程、社会保障卡建设和运行维护、人力资源市场信息化等支出。</w:t>
      </w:r>
    </w:p>
    <w:p>
      <w:pPr>
        <w:keepNext w:val="0"/>
        <w:keepLines w:val="0"/>
        <w:pageBreakBefore w:val="0"/>
        <w:widowControl w:val="0"/>
        <w:numPr>
          <w:ilvl w:val="0"/>
          <w:numId w:val="5"/>
        </w:numPr>
        <w:shd w:val="clear"/>
        <w:kinsoku/>
        <w:wordWrap/>
        <w:overflowPunct/>
        <w:topLinePunct w:val="0"/>
        <w:autoSpaceDE/>
        <w:autoSpaceDN/>
        <w:bidi w:val="0"/>
        <w:adjustRightInd/>
        <w:snapToGrid/>
        <w:ind w:left="0" w:leftChars="0" w:firstLine="400" w:firstLineChars="0"/>
        <w:textAlignment w:val="auto"/>
        <w:rPr>
          <w:rFonts w:hint="eastAsia" w:ascii="仿宋_GB2312" w:hAnsi="Calibri" w:eastAsia="仿宋_GB2312" w:cs="仿宋"/>
          <w:color w:val="auto"/>
          <w:kern w:val="0"/>
          <w:sz w:val="32"/>
          <w:szCs w:val="32"/>
          <w:highlight w:val="none"/>
        </w:rPr>
      </w:pPr>
      <w:r>
        <w:rPr>
          <w:rFonts w:hint="eastAsia" w:ascii="仿宋_GB2312" w:hAnsi="Calibri" w:eastAsia="仿宋_GB2312" w:cs="仿宋"/>
          <w:color w:val="auto"/>
          <w:kern w:val="0"/>
          <w:sz w:val="32"/>
          <w:szCs w:val="32"/>
          <w:highlight w:val="none"/>
        </w:rPr>
        <w:t>社会保障和就业支出（类）人力资源和社会保障管理事务（款）事业运行（项）：反映开展</w:t>
      </w:r>
      <w:r>
        <w:rPr>
          <w:rFonts w:hint="eastAsia" w:ascii="仿宋" w:hAnsi="仿宋" w:eastAsia="仿宋"/>
          <w:bCs/>
          <w:color w:val="auto"/>
          <w:sz w:val="32"/>
          <w:szCs w:val="32"/>
          <w:highlight w:val="none"/>
        </w:rPr>
        <w:t>宣传贯彻人才和就业工作方针、政策和法规，提供公共人才和就业服务</w:t>
      </w:r>
      <w:r>
        <w:rPr>
          <w:rFonts w:hint="eastAsia" w:ascii="仿宋" w:hAnsi="仿宋" w:eastAsia="仿宋"/>
          <w:bCs/>
          <w:color w:val="auto"/>
          <w:sz w:val="32"/>
          <w:szCs w:val="32"/>
          <w:highlight w:val="none"/>
          <w:lang w:eastAsia="zh-CN"/>
        </w:rPr>
        <w:t>工作发生的支出</w:t>
      </w:r>
      <w:r>
        <w:rPr>
          <w:rFonts w:hint="eastAsia" w:ascii="仿宋_GB2312" w:hAnsi="Calibri" w:eastAsia="仿宋_GB2312" w:cs="仿宋"/>
          <w:color w:val="auto"/>
          <w:kern w:val="0"/>
          <w:sz w:val="32"/>
          <w:szCs w:val="32"/>
          <w:highlight w:val="none"/>
        </w:rPr>
        <w:t>。</w:t>
      </w:r>
    </w:p>
    <w:p>
      <w:pPr>
        <w:keepNext w:val="0"/>
        <w:keepLines w:val="0"/>
        <w:pageBreakBefore w:val="0"/>
        <w:widowControl w:val="0"/>
        <w:numPr>
          <w:ilvl w:val="0"/>
          <w:numId w:val="5"/>
        </w:numPr>
        <w:shd w:val="clear"/>
        <w:kinsoku/>
        <w:wordWrap/>
        <w:overflowPunct/>
        <w:topLinePunct w:val="0"/>
        <w:autoSpaceDE/>
        <w:autoSpaceDN/>
        <w:bidi w:val="0"/>
        <w:adjustRightInd/>
        <w:snapToGrid/>
        <w:ind w:left="0" w:leftChars="0" w:firstLine="400" w:firstLineChars="0"/>
        <w:textAlignment w:val="auto"/>
        <w:rPr>
          <w:rFonts w:hint="eastAsia" w:ascii="仿宋_GB2312" w:hAnsi="Calibri" w:eastAsia="仿宋_GB2312" w:cs="仿宋"/>
          <w:color w:val="auto"/>
          <w:kern w:val="0"/>
          <w:sz w:val="32"/>
          <w:szCs w:val="32"/>
          <w:highlight w:val="none"/>
        </w:rPr>
      </w:pPr>
      <w:r>
        <w:rPr>
          <w:rFonts w:hint="eastAsia" w:ascii="仿宋_GB2312" w:hAnsi="Calibri" w:eastAsia="仿宋_GB2312" w:cs="仿宋"/>
          <w:color w:val="auto"/>
          <w:kern w:val="0"/>
          <w:sz w:val="32"/>
          <w:szCs w:val="32"/>
          <w:highlight w:val="none"/>
        </w:rPr>
        <w:t>社会保障和就业支出（类）人力资源和社会保障管理事务（款）其他人力资源和社会保障管理事务支出（项）：</w:t>
      </w:r>
      <w:r>
        <w:rPr>
          <w:rFonts w:hint="eastAsia" w:ascii="仿宋_GB2312" w:eastAsia="仿宋_GB2312"/>
          <w:color w:val="auto"/>
          <w:sz w:val="32"/>
          <w:szCs w:val="32"/>
          <w:highlight w:val="none"/>
        </w:rPr>
        <w:t>反映除上述项目以外其他人力资源和社会保障管理事务方面的支出。</w:t>
      </w:r>
    </w:p>
    <w:p>
      <w:pPr>
        <w:keepNext w:val="0"/>
        <w:keepLines w:val="0"/>
        <w:pageBreakBefore w:val="0"/>
        <w:widowControl w:val="0"/>
        <w:numPr>
          <w:ilvl w:val="0"/>
          <w:numId w:val="5"/>
        </w:numPr>
        <w:shd w:val="clear"/>
        <w:kinsoku/>
        <w:wordWrap/>
        <w:overflowPunct/>
        <w:topLinePunct w:val="0"/>
        <w:autoSpaceDE/>
        <w:autoSpaceDN/>
        <w:bidi w:val="0"/>
        <w:adjustRightInd/>
        <w:snapToGrid/>
        <w:ind w:left="0" w:leftChars="0" w:firstLine="400" w:firstLineChars="0"/>
        <w:textAlignment w:val="auto"/>
        <w:rPr>
          <w:rFonts w:ascii="仿宋_GB2312" w:hAnsi="Calibri" w:eastAsia="仿宋_GB2312" w:cs="仿宋"/>
          <w:color w:val="auto"/>
          <w:kern w:val="0"/>
          <w:sz w:val="32"/>
          <w:szCs w:val="32"/>
          <w:highlight w:val="none"/>
        </w:rPr>
      </w:pPr>
      <w:r>
        <w:rPr>
          <w:rFonts w:ascii="仿宋_GB2312" w:hAnsi="Calibri" w:eastAsia="仿宋_GB2312" w:cs="仿宋"/>
          <w:color w:val="auto"/>
          <w:kern w:val="0"/>
          <w:sz w:val="32"/>
          <w:szCs w:val="32"/>
          <w:highlight w:val="none"/>
        </w:rPr>
        <w:t>社会保障和就业支出（类）行政事业单位养老支出（款）机关事业单位基本养老保险缴费支出（项）：反映机关事业单位实施养老保险制度由单位缴纳的基本养老保险费支出。</w:t>
      </w:r>
    </w:p>
    <w:p>
      <w:pPr>
        <w:keepNext w:val="0"/>
        <w:keepLines w:val="0"/>
        <w:pageBreakBefore w:val="0"/>
        <w:widowControl w:val="0"/>
        <w:numPr>
          <w:ilvl w:val="0"/>
          <w:numId w:val="5"/>
        </w:numPr>
        <w:shd w:val="clear"/>
        <w:kinsoku/>
        <w:wordWrap/>
        <w:overflowPunct/>
        <w:topLinePunct w:val="0"/>
        <w:bidi w:val="0"/>
        <w:snapToGrid/>
        <w:ind w:left="0" w:leftChars="0" w:firstLine="400" w:firstLineChars="0"/>
        <w:textAlignment w:val="auto"/>
        <w:rPr>
          <w:rFonts w:ascii="仿宋_GB2312" w:hAnsi="Calibri" w:eastAsia="仿宋_GB2312" w:cs="仿宋"/>
          <w:color w:val="auto"/>
          <w:kern w:val="0"/>
          <w:sz w:val="32"/>
          <w:szCs w:val="32"/>
          <w:highlight w:val="none"/>
        </w:rPr>
      </w:pPr>
      <w:r>
        <w:rPr>
          <w:rFonts w:ascii="仿宋_GB2312" w:hAnsi="Calibri" w:eastAsia="仿宋_GB2312" w:cs="仿宋"/>
          <w:color w:val="auto"/>
          <w:kern w:val="0"/>
          <w:sz w:val="32"/>
          <w:szCs w:val="32"/>
          <w:highlight w:val="none"/>
        </w:rPr>
        <w:t>社会保障和就业支出（类）行政事业单位养老支出（款）</w:t>
      </w:r>
      <w:r>
        <w:rPr>
          <w:rFonts w:hint="eastAsia" w:ascii="仿宋_GB2312" w:hAnsi="Calibri" w:eastAsia="仿宋_GB2312" w:cs="仿宋"/>
          <w:color w:val="auto"/>
          <w:kern w:val="0"/>
          <w:sz w:val="32"/>
          <w:szCs w:val="32"/>
          <w:highlight w:val="none"/>
        </w:rPr>
        <w:t>机关事业单位职业年金缴费支出</w:t>
      </w:r>
      <w:r>
        <w:rPr>
          <w:rFonts w:ascii="仿宋_GB2312" w:hAnsi="Calibri" w:eastAsia="仿宋_GB2312" w:cs="仿宋"/>
          <w:color w:val="auto"/>
          <w:kern w:val="0"/>
          <w:sz w:val="32"/>
          <w:szCs w:val="32"/>
          <w:highlight w:val="none"/>
        </w:rPr>
        <w:t>（项）：反映机关事业单位实施养老保险制度由单位缴纳的基本养老保险费支出。</w:t>
      </w:r>
    </w:p>
    <w:p>
      <w:pPr>
        <w:pStyle w:val="2"/>
        <w:keepNext w:val="0"/>
        <w:keepLines w:val="0"/>
        <w:pageBreakBefore w:val="0"/>
        <w:widowControl w:val="0"/>
        <w:numPr>
          <w:ilvl w:val="0"/>
          <w:numId w:val="5"/>
        </w:numPr>
        <w:shd w:val="clear"/>
        <w:kinsoku/>
        <w:wordWrap/>
        <w:overflowPunct/>
        <w:topLinePunct w:val="0"/>
        <w:bidi w:val="0"/>
        <w:snapToGrid/>
        <w:ind w:left="0" w:leftChars="0" w:firstLine="400" w:firstLineChars="0"/>
        <w:textAlignment w:val="auto"/>
        <w:rPr>
          <w:rFonts w:hint="eastAsia" w:ascii="仿宋_GB2312" w:hAnsi="Calibri" w:eastAsia="仿宋_GB2312" w:cs="仿宋"/>
          <w:color w:val="auto"/>
          <w:kern w:val="0"/>
          <w:sz w:val="32"/>
          <w:szCs w:val="32"/>
          <w:highlight w:val="none"/>
          <w:lang w:val="en-US" w:eastAsia="zh-CN"/>
        </w:rPr>
      </w:pPr>
      <w:r>
        <w:rPr>
          <w:rFonts w:hint="eastAsia" w:ascii="仿宋_GB2312" w:hAnsi="Calibri" w:eastAsia="仿宋_GB2312" w:cs="仿宋"/>
          <w:color w:val="auto"/>
          <w:kern w:val="0"/>
          <w:sz w:val="32"/>
          <w:szCs w:val="32"/>
          <w:highlight w:val="none"/>
          <w:lang w:val="en-US" w:eastAsia="zh-CN" w:bidi="ar-SA"/>
        </w:rPr>
        <w:t>卫生健康支出（类）行政事业单位医疗（款）行政单位医疗（项）：反映财政部门安排的行政单位（包括实行公务员管理的事业单位，下同）基本医疗保险缴费经费、未参加医疗保险的行政单位公费医疗经费，按国家规定享受离退休人员、红军老战士待遇人员的医疗经费。</w:t>
      </w:r>
    </w:p>
    <w:p>
      <w:pPr>
        <w:keepNext w:val="0"/>
        <w:keepLines w:val="0"/>
        <w:pageBreakBefore w:val="0"/>
        <w:widowControl w:val="0"/>
        <w:numPr>
          <w:ilvl w:val="0"/>
          <w:numId w:val="5"/>
        </w:numPr>
        <w:shd w:val="clear"/>
        <w:kinsoku/>
        <w:wordWrap/>
        <w:overflowPunct/>
        <w:topLinePunct w:val="0"/>
        <w:bidi w:val="0"/>
        <w:snapToGrid/>
        <w:ind w:left="0" w:leftChars="0" w:firstLine="400" w:firstLineChars="0"/>
        <w:textAlignment w:val="auto"/>
        <w:rPr>
          <w:rFonts w:ascii="仿宋_GB2312" w:hAnsi="Calibri" w:eastAsia="仿宋_GB2312" w:cs="仿宋"/>
          <w:color w:val="auto"/>
          <w:kern w:val="0"/>
          <w:sz w:val="32"/>
          <w:szCs w:val="32"/>
          <w:highlight w:val="none"/>
        </w:rPr>
      </w:pPr>
      <w:r>
        <w:rPr>
          <w:rFonts w:ascii="仿宋_GB2312" w:hAnsi="Calibri" w:eastAsia="仿宋_GB2312" w:cs="仿宋"/>
          <w:color w:val="auto"/>
          <w:kern w:val="0"/>
          <w:sz w:val="32"/>
          <w:szCs w:val="32"/>
          <w:highlight w:val="none"/>
        </w:rPr>
        <w:t>住房保障支出（类）住房改革支出（款）住房公积金（项）:反映行政事业单位按人力资源和社会保障部、财政部规定的基本工资和津贴补贴以及规定比例为职工缴纳的住房公积金。</w:t>
      </w:r>
    </w:p>
    <w:p>
      <w:pPr>
        <w:keepNext w:val="0"/>
        <w:keepLines w:val="0"/>
        <w:pageBreakBefore w:val="0"/>
        <w:widowControl w:val="0"/>
        <w:numPr>
          <w:ilvl w:val="0"/>
          <w:numId w:val="5"/>
        </w:numPr>
        <w:shd w:val="clear"/>
        <w:kinsoku/>
        <w:wordWrap/>
        <w:overflowPunct/>
        <w:topLinePunct w:val="0"/>
        <w:bidi w:val="0"/>
        <w:snapToGrid/>
        <w:ind w:left="0" w:leftChars="0" w:firstLine="400" w:firstLineChars="0"/>
        <w:textAlignment w:val="auto"/>
        <w:rPr>
          <w:rFonts w:ascii="仿宋_GB2312" w:hAnsi="Calibri" w:eastAsia="仿宋_GB2312" w:cs="仿宋"/>
          <w:color w:val="auto"/>
          <w:kern w:val="0"/>
          <w:sz w:val="32"/>
          <w:szCs w:val="32"/>
          <w:highlight w:val="none"/>
        </w:rPr>
      </w:pPr>
      <w:r>
        <w:rPr>
          <w:rFonts w:ascii="仿宋_GB2312" w:hAnsi="Calibri" w:eastAsia="仿宋_GB2312" w:cs="仿宋"/>
          <w:color w:val="auto"/>
          <w:kern w:val="0"/>
          <w:sz w:val="32"/>
          <w:szCs w:val="32"/>
          <w:highlight w:val="none"/>
        </w:rPr>
        <w:t>基本支出：指为保障机构正常运转、完成日常工作任务而发生的人员支出和公用支出。</w:t>
      </w:r>
    </w:p>
    <w:p>
      <w:pPr>
        <w:keepNext w:val="0"/>
        <w:keepLines w:val="0"/>
        <w:pageBreakBefore w:val="0"/>
        <w:widowControl w:val="0"/>
        <w:numPr>
          <w:ilvl w:val="0"/>
          <w:numId w:val="5"/>
        </w:numPr>
        <w:shd w:val="clear"/>
        <w:kinsoku/>
        <w:wordWrap/>
        <w:overflowPunct/>
        <w:topLinePunct w:val="0"/>
        <w:bidi w:val="0"/>
        <w:snapToGrid/>
        <w:ind w:left="0" w:leftChars="0" w:firstLine="400" w:firstLineChars="0"/>
        <w:textAlignment w:val="auto"/>
        <w:rPr>
          <w:rFonts w:ascii="仿宋_GB2312" w:hAnsi="Calibri" w:eastAsia="仿宋_GB2312" w:cs="仿宋"/>
          <w:color w:val="auto"/>
          <w:kern w:val="0"/>
          <w:sz w:val="32"/>
          <w:szCs w:val="32"/>
          <w:highlight w:val="none"/>
        </w:rPr>
      </w:pPr>
      <w:r>
        <w:rPr>
          <w:rFonts w:ascii="仿宋_GB2312" w:hAnsi="Calibri" w:eastAsia="仿宋_GB2312" w:cs="仿宋"/>
          <w:color w:val="auto"/>
          <w:kern w:val="0"/>
          <w:sz w:val="32"/>
          <w:szCs w:val="32"/>
          <w:highlight w:val="none"/>
        </w:rPr>
        <w:t>项目支出：指在基本支出之外为完成特定行政任务和事业发展目标所发生的支出。</w:t>
      </w:r>
    </w:p>
    <w:p>
      <w:pPr>
        <w:keepNext w:val="0"/>
        <w:keepLines w:val="0"/>
        <w:pageBreakBefore w:val="0"/>
        <w:widowControl w:val="0"/>
        <w:numPr>
          <w:ilvl w:val="0"/>
          <w:numId w:val="5"/>
        </w:numPr>
        <w:shd w:val="clear"/>
        <w:kinsoku/>
        <w:wordWrap/>
        <w:overflowPunct/>
        <w:topLinePunct w:val="0"/>
        <w:bidi w:val="0"/>
        <w:snapToGrid/>
        <w:ind w:left="0" w:leftChars="0" w:firstLine="400" w:firstLineChars="0"/>
        <w:textAlignment w:val="auto"/>
        <w:rPr>
          <w:rFonts w:ascii="仿宋_GB2312" w:hAnsi="Calibri" w:eastAsia="仿宋_GB2312" w:cs="仿宋"/>
          <w:color w:val="auto"/>
          <w:kern w:val="0"/>
          <w:sz w:val="32"/>
          <w:szCs w:val="32"/>
          <w:highlight w:val="none"/>
        </w:rPr>
      </w:pPr>
      <w:r>
        <w:rPr>
          <w:rFonts w:ascii="仿宋_GB2312" w:hAnsi="Calibri" w:eastAsia="仿宋_GB2312" w:cs="仿宋"/>
          <w:color w:val="auto"/>
          <w:kern w:val="0"/>
          <w:sz w:val="32"/>
          <w:szCs w:val="32"/>
          <w:highlight w:val="none"/>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keepNext w:val="0"/>
        <w:keepLines w:val="0"/>
        <w:pageBreakBefore w:val="0"/>
        <w:widowControl w:val="0"/>
        <w:numPr>
          <w:ilvl w:val="0"/>
          <w:numId w:val="5"/>
        </w:numPr>
        <w:shd w:val="clear"/>
        <w:kinsoku/>
        <w:wordWrap/>
        <w:overflowPunct/>
        <w:topLinePunct w:val="0"/>
        <w:bidi w:val="0"/>
        <w:snapToGrid/>
        <w:ind w:left="0" w:leftChars="0" w:firstLine="400" w:firstLineChars="0"/>
        <w:textAlignment w:val="auto"/>
        <w:rPr>
          <w:rFonts w:ascii="仿宋_GB2312" w:hAnsi="Calibri" w:eastAsia="仿宋_GB2312" w:cs="仿宋"/>
          <w:color w:val="auto"/>
          <w:kern w:val="0"/>
          <w:sz w:val="32"/>
          <w:szCs w:val="32"/>
          <w:highlight w:val="none"/>
        </w:rPr>
      </w:pPr>
      <w:r>
        <w:rPr>
          <w:rFonts w:ascii="仿宋_GB2312" w:hAnsi="Calibri" w:eastAsia="仿宋_GB2312" w:cs="仿宋"/>
          <w:color w:val="auto"/>
          <w:kern w:val="0"/>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3" w:firstLineChars="200"/>
        <w:rPr>
          <w:rFonts w:ascii="仿宋" w:hAnsi="仿宋" w:eastAsia="仿宋"/>
          <w:b/>
          <w:color w:val="auto"/>
          <w:sz w:val="32"/>
          <w:szCs w:val="32"/>
          <w:highlight w:val="none"/>
        </w:rPr>
      </w:pPr>
    </w:p>
    <w:p>
      <w:pPr>
        <w:keepNext w:val="0"/>
        <w:keepLines w:val="0"/>
        <w:pageBreakBefore w:val="0"/>
        <w:kinsoku/>
        <w:wordWrap/>
        <w:overflowPunct/>
        <w:topLinePunct w:val="0"/>
        <w:autoSpaceDE/>
        <w:autoSpaceDN/>
        <w:bidi w:val="0"/>
        <w:spacing w:line="576" w:lineRule="exact"/>
        <w:ind w:firstLine="883" w:firstLineChars="200"/>
        <w:textAlignment w:val="auto"/>
        <w:rPr>
          <w:rFonts w:hint="eastAsia" w:ascii="仿宋_GB2312" w:hAnsi="Times New Roman" w:eastAsia="仿宋_GB2312" w:cs="Times New Roman"/>
          <w:sz w:val="32"/>
          <w:szCs w:val="32"/>
        </w:rPr>
      </w:pPr>
      <w:bookmarkStart w:id="83" w:name="_Toc15377226"/>
      <w:r>
        <w:rPr>
          <w:rFonts w:ascii="宋体"/>
          <w:b/>
          <w:color w:val="auto"/>
          <w:sz w:val="44"/>
          <w:szCs w:val="44"/>
          <w:highlight w:val="none"/>
        </w:rPr>
        <w:br w:type="page"/>
      </w:r>
      <w:bookmarkStart w:id="84" w:name="_Toc15396618"/>
    </w:p>
    <w:p>
      <w:pPr>
        <w:spacing w:line="600" w:lineRule="exact"/>
        <w:jc w:val="center"/>
        <w:outlineLvl w:val="0"/>
        <w:rPr>
          <w:rStyle w:val="20"/>
          <w:rFonts w:ascii="黑体" w:hAnsi="黑体" w:eastAsia="黑体"/>
          <w:b w:val="0"/>
          <w:color w:val="auto"/>
          <w:highlight w:val="none"/>
        </w:rPr>
      </w:pPr>
      <w:bookmarkStart w:id="85" w:name="_Toc13208"/>
      <w:bookmarkStart w:id="86" w:name="_Toc15396614"/>
      <w:r>
        <w:rPr>
          <w:rFonts w:hint="eastAsia" w:ascii="黑体" w:hAnsi="黑体" w:eastAsia="黑体"/>
          <w:color w:val="auto"/>
          <w:sz w:val="44"/>
          <w:szCs w:val="44"/>
          <w:highlight w:val="none"/>
        </w:rPr>
        <w:t>第</w:t>
      </w:r>
      <w:r>
        <w:rPr>
          <w:rStyle w:val="20"/>
          <w:rFonts w:hint="eastAsia" w:ascii="黑体" w:hAnsi="黑体" w:eastAsia="黑体"/>
          <w:b w:val="0"/>
          <w:color w:val="auto"/>
          <w:highlight w:val="none"/>
        </w:rPr>
        <w:t>四部分附件</w:t>
      </w:r>
      <w:bookmarkEnd w:id="85"/>
      <w:bookmarkEnd w:id="86"/>
    </w:p>
    <w:tbl>
      <w:tblPr>
        <w:tblStyle w:val="16"/>
        <w:tblpPr w:leftFromText="180" w:rightFromText="180" w:vertAnchor="text" w:horzAnchor="page" w:tblpXSpec="center" w:tblpY="1188"/>
        <w:tblOverlap w:val="never"/>
        <w:tblW w:w="4876"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75"/>
        <w:gridCol w:w="1016"/>
        <w:gridCol w:w="848"/>
        <w:gridCol w:w="1205"/>
        <w:gridCol w:w="404"/>
        <w:gridCol w:w="741"/>
        <w:gridCol w:w="535"/>
        <w:gridCol w:w="711"/>
        <w:gridCol w:w="575"/>
        <w:gridCol w:w="577"/>
        <w:gridCol w:w="11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jc w:val="center"/>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jc w:val="center"/>
        </w:trPr>
        <w:tc>
          <w:tcPr>
            <w:tcW w:w="9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042"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51000021R000000019951-工资性支出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jc w:val="center"/>
        </w:trPr>
        <w:tc>
          <w:tcPr>
            <w:tcW w:w="9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24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广元市人力资源和社会保障局部门</w:t>
            </w:r>
          </w:p>
        </w:tc>
        <w:tc>
          <w:tcPr>
            <w:tcW w:w="425"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实施单位（盖章）</w:t>
            </w:r>
          </w:p>
        </w:tc>
        <w:tc>
          <w:tcPr>
            <w:tcW w:w="13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广元市人才交流中心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jc w:val="center"/>
        </w:trPr>
        <w:tc>
          <w:tcPr>
            <w:tcW w:w="34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6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24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79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4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严格执行相关政策，保障工资及时发放、足额发放，预算编制科学合理，减少结余资金</w:t>
            </w:r>
          </w:p>
        </w:tc>
        <w:tc>
          <w:tcPr>
            <w:tcW w:w="179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4042"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严格执行相关政策，保障工资及时发放、足额发放，预算编制科学合理，没有结余资金，保障了职工的正常生活和日常运转。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jc w:val="center"/>
        </w:trPr>
        <w:tc>
          <w:tcPr>
            <w:tcW w:w="34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01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113.50</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149.77</w:t>
            </w:r>
          </w:p>
        </w:tc>
        <w:tc>
          <w:tcPr>
            <w:tcW w:w="101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146.33</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97.70%</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67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年终财政追加代扣职工保险及年金公积金。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113.50</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149.77</w:t>
            </w:r>
          </w:p>
        </w:tc>
        <w:tc>
          <w:tcPr>
            <w:tcW w:w="101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146.33</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97.70%</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7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1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7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1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7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c>
          <w:tcPr>
            <w:tcW w:w="101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7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jc w:val="center"/>
        </w:trPr>
        <w:tc>
          <w:tcPr>
            <w:tcW w:w="34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51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0</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按时发放率</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结余率（计算方法为：结余数/预算数）</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2.30%</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年终财政追加代扣职工保险及年金公积金。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jc w:val="center"/>
        </w:trPr>
        <w:tc>
          <w:tcPr>
            <w:tcW w:w="3630"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653"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严格执行相关政策，保障工资及时发放、足额发放，预算编制科学合理，没有结余资金，保障了职工的正常生活和日常运转。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653"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653"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jc w:val="center"/>
        </w:trPr>
        <w:tc>
          <w:tcPr>
            <w:tcW w:w="243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项目负责人：王建文</w:t>
            </w:r>
          </w:p>
        </w:tc>
        <w:tc>
          <w:tcPr>
            <w:tcW w:w="2564"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财务负责人：陈弥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jc w:val="center"/>
        </w:trPr>
        <w:tc>
          <w:tcPr>
            <w:tcW w:w="34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1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0"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2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4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4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2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2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4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4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7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jc w:val="center"/>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9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042"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51000021R000000019956-离退休费支出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jc w:val="center"/>
        </w:trPr>
        <w:tc>
          <w:tcPr>
            <w:tcW w:w="9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24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广元市人力资源和社会保障局部门</w:t>
            </w:r>
          </w:p>
        </w:tc>
        <w:tc>
          <w:tcPr>
            <w:tcW w:w="425"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实施单位（盖章）</w:t>
            </w:r>
          </w:p>
        </w:tc>
        <w:tc>
          <w:tcPr>
            <w:tcW w:w="13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广元市人才交流中心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34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6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24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79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4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严格执行相关政策，保障工资及时发放、足额发放，预算编制科学合理，减少结余资金</w:t>
            </w:r>
          </w:p>
        </w:tc>
        <w:tc>
          <w:tcPr>
            <w:tcW w:w="179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4042"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严格执行相关政策，保障工资及时发放、足额发放，预算编制科学合理，没有结余资金，保障了退休人员的正常生活.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jc w:val="center"/>
        </w:trPr>
        <w:tc>
          <w:tcPr>
            <w:tcW w:w="34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01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7.00</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7.00</w:t>
            </w:r>
          </w:p>
        </w:tc>
        <w:tc>
          <w:tcPr>
            <w:tcW w:w="101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7.00</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67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7.00</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7.00</w:t>
            </w:r>
          </w:p>
        </w:tc>
        <w:tc>
          <w:tcPr>
            <w:tcW w:w="101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7.00</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7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1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7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1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7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c>
          <w:tcPr>
            <w:tcW w:w="101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7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jc w:val="center"/>
        </w:trPr>
        <w:tc>
          <w:tcPr>
            <w:tcW w:w="34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51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0</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39"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按时发放率</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结余率（计算方法为：结余数/预算数）</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0</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jc w:val="center"/>
        </w:trPr>
        <w:tc>
          <w:tcPr>
            <w:tcW w:w="3630"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653"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严格执行相关政策，保障工资及时发放、足额发放，预算编制科学合理，没有结余资金，保障了退休人员的正常生活.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653"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653"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243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项目负责人：王建文</w:t>
            </w:r>
          </w:p>
        </w:tc>
        <w:tc>
          <w:tcPr>
            <w:tcW w:w="2564"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财务负责人：陈弥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34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1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0"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2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4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4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2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2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4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4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7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jc w:val="center"/>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9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042"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51000021R000000019958-其他支出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9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24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广元市人力资源和社会保障局部门</w:t>
            </w:r>
          </w:p>
        </w:tc>
        <w:tc>
          <w:tcPr>
            <w:tcW w:w="425"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实施单位（盖章）</w:t>
            </w:r>
          </w:p>
        </w:tc>
        <w:tc>
          <w:tcPr>
            <w:tcW w:w="13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广元市人才交流中心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34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6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24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79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4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严格执行相关政策，退休职工年金做实及时足额到账。</w:t>
            </w:r>
          </w:p>
        </w:tc>
        <w:tc>
          <w:tcPr>
            <w:tcW w:w="179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严格执行相关政策，退休职工年金做实及时足额到账。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4042"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严格执行相关政策，退休职工年金做实及时足额发放。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jc w:val="center"/>
        </w:trPr>
        <w:tc>
          <w:tcPr>
            <w:tcW w:w="34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01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3.84</w:t>
            </w:r>
          </w:p>
        </w:tc>
        <w:tc>
          <w:tcPr>
            <w:tcW w:w="101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3.84</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67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3.84</w:t>
            </w:r>
          </w:p>
        </w:tc>
        <w:tc>
          <w:tcPr>
            <w:tcW w:w="101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3.84</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7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1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7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1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7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c>
          <w:tcPr>
            <w:tcW w:w="101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7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jc w:val="center"/>
        </w:trPr>
        <w:tc>
          <w:tcPr>
            <w:tcW w:w="346"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一级指标</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二级指标</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三级指标</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指标性质</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指标值</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度量单位</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完成值</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权重</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得分</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jc w:val="center"/>
        </w:trPr>
        <w:tc>
          <w:tcPr>
            <w:tcW w:w="346" w:type="pct"/>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51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0次</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jc w:val="center"/>
        </w:trPr>
        <w:tc>
          <w:tcPr>
            <w:tcW w:w="346" w:type="pct"/>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jc w:val="center"/>
        </w:trPr>
        <w:tc>
          <w:tcPr>
            <w:tcW w:w="346" w:type="pct"/>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按时发放率</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3630"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653"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严格执行相关政策，退休职工年金做实及时足额到账。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653"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653"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jc w:val="center"/>
        </w:trPr>
        <w:tc>
          <w:tcPr>
            <w:tcW w:w="243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项目负责人：王建文</w:t>
            </w:r>
          </w:p>
        </w:tc>
        <w:tc>
          <w:tcPr>
            <w:tcW w:w="2564"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财务负责人：陈弥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jc w:val="center"/>
        </w:trPr>
        <w:tc>
          <w:tcPr>
            <w:tcW w:w="34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1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0"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2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4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4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2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2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4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4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7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jc w:val="center"/>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9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042"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51080021T000000051746-高校毕业生创业就业服务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jc w:val="center"/>
        </w:trPr>
        <w:tc>
          <w:tcPr>
            <w:tcW w:w="9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24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广元市人力资源和社会保障局部门</w:t>
            </w:r>
          </w:p>
        </w:tc>
        <w:tc>
          <w:tcPr>
            <w:tcW w:w="425"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实施单位（盖章）</w:t>
            </w:r>
          </w:p>
        </w:tc>
        <w:tc>
          <w:tcPr>
            <w:tcW w:w="13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广元市人才交流中心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jc w:val="center"/>
        </w:trPr>
        <w:tc>
          <w:tcPr>
            <w:tcW w:w="34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6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24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79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4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照人社部总体部署，开展“春风行动”、“智汇天府”、“百日千万”、民营企业招聘周及大中城市联合招聘高校毕业生就业等专场招聘活动。制作发放就业创业政策宣传手册，毕业生报到事项等专项活动的宣传和资料。</w:t>
            </w:r>
          </w:p>
        </w:tc>
        <w:tc>
          <w:tcPr>
            <w:tcW w:w="179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组织“春风送岗”、“民营企业聘周、大学生就业专场招聘会、大学生就业服务周、高校毕业生就业服务月、金秋招聘月”等招聘活动。为市内登记失业人员、离校未就业高校毕业生等群体“点对点”定向推送岗位信息3.07万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4042"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高校毕业生就业服务是常年性工作，做好离校未就业高校毕业生、就业援助工作，重点承办高校毕业生就业校园招聘活动和保障企业用工专场招聘会。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jc w:val="center"/>
        </w:trPr>
        <w:tc>
          <w:tcPr>
            <w:tcW w:w="34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01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w:t>
            </w:r>
          </w:p>
        </w:tc>
        <w:tc>
          <w:tcPr>
            <w:tcW w:w="101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67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w:t>
            </w:r>
          </w:p>
        </w:tc>
        <w:tc>
          <w:tcPr>
            <w:tcW w:w="101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7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1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7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1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7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c>
          <w:tcPr>
            <w:tcW w:w="101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7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jc w:val="center"/>
        </w:trPr>
        <w:tc>
          <w:tcPr>
            <w:tcW w:w="34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8"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按照人社部总体部署，全年举办线上线下各类招聘会.</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批</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全年截止时间</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月</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年底</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开展各专项招聘活动</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20000</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元/年</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20000</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8"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促进重点人群就业</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级</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企业个人满意度</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98</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98%</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3630"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653"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发挥市场在人力资源配置和人力资源服务行业促就业的作用，搭建供需平台，拓宽就业渠道。抓好高校毕业生、等重点群体高质量充分就业。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653"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653"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243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项目负责人：王建文</w:t>
            </w:r>
          </w:p>
        </w:tc>
        <w:tc>
          <w:tcPr>
            <w:tcW w:w="2564"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财务负责人：陈弥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jc w:val="center"/>
        </w:trPr>
        <w:tc>
          <w:tcPr>
            <w:tcW w:w="34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1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0"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2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4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4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2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2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4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4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7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jc w:val="center"/>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9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042"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51080021T000000051779-高校毕业生人事档案管理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jc w:val="center"/>
        </w:trPr>
        <w:tc>
          <w:tcPr>
            <w:tcW w:w="9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24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广元市人力资源和社会保障局部门</w:t>
            </w:r>
          </w:p>
        </w:tc>
        <w:tc>
          <w:tcPr>
            <w:tcW w:w="425"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实施单位（盖章）</w:t>
            </w:r>
          </w:p>
        </w:tc>
        <w:tc>
          <w:tcPr>
            <w:tcW w:w="13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广元市人才交流中心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jc w:val="center"/>
        </w:trPr>
        <w:tc>
          <w:tcPr>
            <w:tcW w:w="34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6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24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79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4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对流动人员人事档案进行日常管理并提供以人事档案为基础的各类公共服务；录入整理新增的毕业生和流动人员人事档案，确保所有在库实体档案安全；负责流动人员人事档案数字化工作；确保流动人员人事档案通过机要交通正常转递；负责整理、规范在库档案。</w:t>
            </w:r>
          </w:p>
        </w:tc>
        <w:tc>
          <w:tcPr>
            <w:tcW w:w="179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完成对在库流动人员和高校毕业生人事档案的日常管理；市本级管理在库流动人员人事档案9.4万余份，全年新接收档案1.17万份、转出档案0.13万份，受理业务及咨询1.22万人次。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4042"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对高校毕业生和流动人员人事档案进行日常管理并提供以人事档案为基础的各类公共服务；录入整理新增的高校毕业生和流动人员人事档案，确保所有在库实体档案安全；负责高校毕业生和流动人员人事档案数字化工作；确保高校毕业生和流动人员人事档案通过机要交通正常转递；负责整理、规范在库档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jc w:val="center"/>
        </w:trPr>
        <w:tc>
          <w:tcPr>
            <w:tcW w:w="34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01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8.97</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8.97</w:t>
            </w:r>
          </w:p>
        </w:tc>
        <w:tc>
          <w:tcPr>
            <w:tcW w:w="101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8.97</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67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8.97</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8.97</w:t>
            </w:r>
          </w:p>
        </w:tc>
        <w:tc>
          <w:tcPr>
            <w:tcW w:w="101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8.97</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7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1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7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1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7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c>
          <w:tcPr>
            <w:tcW w:w="101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7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jc w:val="center"/>
        </w:trPr>
        <w:tc>
          <w:tcPr>
            <w:tcW w:w="34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8"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录入整理当年高校毕业生和流动人员人事档案</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家/个/批次</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完成</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完成时间</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月</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年底</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档案接收、信息录入整理人员经费保障；防潮、防火、防蛀；档案袋、机要费</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89700</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元/年</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89700</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规范管理高校毕业生人事档案，为档案数字化工作打下坚实基础</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级</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优</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档案管理部门，档案使用者</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98</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98%</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jc w:val="center"/>
        </w:trPr>
        <w:tc>
          <w:tcPr>
            <w:tcW w:w="3630"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653"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对高校毕业生和流动人员人事档案进行日常管理并提供以人事档案为基础的各类公共服务；录入整理新增的高校毕业生和流动人员人事档案，确保所有在库实体档案安全；负责高校毕业生和流动人员人事档案数字化工作；确保高校毕业生和流动人员人事档案通过机要交通正常转递；负责整理、规范在库档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653"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653"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243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项目负责人：王建文</w:t>
            </w:r>
          </w:p>
        </w:tc>
        <w:tc>
          <w:tcPr>
            <w:tcW w:w="2564"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财务负责人：陈弥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jc w:val="center"/>
        </w:trPr>
        <w:tc>
          <w:tcPr>
            <w:tcW w:w="34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1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0"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2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4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4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2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2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4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4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7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jc w:val="center"/>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9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042"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51080021T000000051787-广元公益性人才网站运行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jc w:val="center"/>
        </w:trPr>
        <w:tc>
          <w:tcPr>
            <w:tcW w:w="9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24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广元市人力资源和社会保障局部门</w:t>
            </w:r>
          </w:p>
        </w:tc>
        <w:tc>
          <w:tcPr>
            <w:tcW w:w="425"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实施单位（盖章）</w:t>
            </w:r>
          </w:p>
        </w:tc>
        <w:tc>
          <w:tcPr>
            <w:tcW w:w="13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广元市人才交流中心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34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6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24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79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4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1、进一步完善毕业生报到创业就业服务系统、档案查询系统、网上招聘会系统，网上档案转移系统，高层次人才网上报名系统等数据库；</w:t>
            </w:r>
          </w:p>
          <w:p>
            <w:pPr>
              <w:keepNext w:val="0"/>
              <w:keepLines w:val="0"/>
              <w:widowControl/>
              <w:suppressLineNumbers w:val="0"/>
              <w:jc w:val="lef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2、服务器安全托管；</w:t>
            </w:r>
          </w:p>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3、开展网络招聘会；</w:t>
            </w:r>
          </w:p>
        </w:tc>
        <w:tc>
          <w:tcPr>
            <w:tcW w:w="179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网站运行顺畅，档案信息管理正规有序，毕业生报到工作、高校毕业生及流动人员网上查档案，提升了人才流动便利度，切实发挥公共创业就业服务平台作用。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4042"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通过项目实施，网站全年运行通畅、总体运行平稳，达到信息共享，利于档案管理部门规范管理档案，方便高校毕业生及流动人员网上查档案，提升人才流动便利度切实发挥公共创业就业服务平台作用。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jc w:val="center"/>
        </w:trPr>
        <w:tc>
          <w:tcPr>
            <w:tcW w:w="34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01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w:t>
            </w:r>
          </w:p>
        </w:tc>
        <w:tc>
          <w:tcPr>
            <w:tcW w:w="101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67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w:t>
            </w:r>
          </w:p>
        </w:tc>
        <w:tc>
          <w:tcPr>
            <w:tcW w:w="101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7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1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7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1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7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c>
          <w:tcPr>
            <w:tcW w:w="101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7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jc w:val="center"/>
        </w:trPr>
        <w:tc>
          <w:tcPr>
            <w:tcW w:w="34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保障网站全年稳定运行</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365</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天</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全年</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网站服务器托管</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10800</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元/年</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10800</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2"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网络运行维护人员经费保障</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9200</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元/年</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9200</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8"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36"/>
                <w:i w:val="0"/>
                <w:iCs w:val="0"/>
                <w:lang w:val="en-US" w:eastAsia="zh-CN" w:bidi="ar"/>
              </w:rPr>
              <w:t>信息化系统后续可拓展性</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36"/>
                <w:i w:val="0"/>
                <w:iCs w:val="0"/>
                <w:lang w:val="en-US" w:eastAsia="zh-CN" w:bidi="ar"/>
              </w:rPr>
              <w:t>定性</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级</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优</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可持续发展指标</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网站使用年限</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365</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天</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全年</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企业、个人满意度98%以上</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98</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99%</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jc w:val="center"/>
        </w:trPr>
        <w:tc>
          <w:tcPr>
            <w:tcW w:w="3630"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653"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通过项目实施，网站全年运行通畅、总体运行平稳，达到信息共享，利于档案管理部门规范管理档案，方便高校毕业生及流动人员网上查档案，提升人才流动便利度切实发挥公共创业就业服务平台作用。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653"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653"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jc w:val="center"/>
        </w:trPr>
        <w:tc>
          <w:tcPr>
            <w:tcW w:w="243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项目负责人：王建文</w:t>
            </w:r>
          </w:p>
        </w:tc>
        <w:tc>
          <w:tcPr>
            <w:tcW w:w="2564"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财务负责人：陈弥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jc w:val="center"/>
        </w:trPr>
        <w:tc>
          <w:tcPr>
            <w:tcW w:w="34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1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0"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2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4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4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2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2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4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4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7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904" w:hRule="atLeast"/>
          <w:jc w:val="center"/>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jc w:val="center"/>
        </w:trPr>
        <w:tc>
          <w:tcPr>
            <w:tcW w:w="9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042"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51080021T000000051800-广元公共招聘网运行维护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jc w:val="center"/>
        </w:trPr>
        <w:tc>
          <w:tcPr>
            <w:tcW w:w="9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24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广元市人力资源和社会保障局部门</w:t>
            </w:r>
          </w:p>
        </w:tc>
        <w:tc>
          <w:tcPr>
            <w:tcW w:w="425"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实施单位（盖章）</w:t>
            </w:r>
          </w:p>
        </w:tc>
        <w:tc>
          <w:tcPr>
            <w:tcW w:w="13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广元市人才交流中心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34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6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24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79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4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网站总体运行平稳，发布信息质量良好，切实发挥公共创业就业服务平台作用。</w:t>
            </w:r>
          </w:p>
        </w:tc>
        <w:tc>
          <w:tcPr>
            <w:tcW w:w="179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广元公共招聘网的宣传、推广和运营，网站日常维护及管理，求职、招聘等各类信息的审核与发布，确保网站总体运行平稳，发布信息质量良好，切实发挥公共创业就业服务平台作用。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4042"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加强企业用工要素保障，搭建供需平台，拓宽就业渠道。抓好高校毕业生等重点群体高质量充分就业。网站总体运行平稳，发布信息质量良好，切实发挥公共创业就业服务平台作用。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jc w:val="center"/>
        </w:trPr>
        <w:tc>
          <w:tcPr>
            <w:tcW w:w="34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01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w:t>
            </w:r>
          </w:p>
        </w:tc>
        <w:tc>
          <w:tcPr>
            <w:tcW w:w="101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67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w:t>
            </w:r>
          </w:p>
        </w:tc>
        <w:tc>
          <w:tcPr>
            <w:tcW w:w="101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7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1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7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1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7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c>
          <w:tcPr>
            <w:tcW w:w="101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7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jc w:val="center"/>
        </w:trPr>
        <w:tc>
          <w:tcPr>
            <w:tcW w:w="34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保障网站全年正常运行</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365</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天</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全年</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保障网站全年运行费用</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30000</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元/年</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全年</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35</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35</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8"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提供就业招聘信息</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家/个/批次</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全年</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36"/>
                <w:i w:val="0"/>
                <w:iCs w:val="0"/>
                <w:lang w:val="en-US" w:eastAsia="zh-CN" w:bidi="ar"/>
              </w:rPr>
              <w:t>信息化系统后续可拓展性</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36"/>
                <w:i w:val="0"/>
                <w:iCs w:val="0"/>
                <w:lang w:val="en-US" w:eastAsia="zh-CN" w:bidi="ar"/>
              </w:rPr>
              <w:t>定性</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级</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优</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用人单位和个人满意度</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98</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98%</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jc w:val="center"/>
        </w:trPr>
        <w:tc>
          <w:tcPr>
            <w:tcW w:w="3630"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653"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通过项目实施，网站全年运行通畅、总体运行平稳，促进就业，维护社会稳定，切实发挥公共创业就业服务平台作用。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653"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653"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jc w:val="center"/>
        </w:trPr>
        <w:tc>
          <w:tcPr>
            <w:tcW w:w="243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项目负责人：王建文</w:t>
            </w:r>
          </w:p>
        </w:tc>
        <w:tc>
          <w:tcPr>
            <w:tcW w:w="2564"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财务负责人：陈弥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jc w:val="center"/>
        </w:trPr>
        <w:tc>
          <w:tcPr>
            <w:tcW w:w="34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1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0"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2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4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4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2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2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4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4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7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jc w:val="center"/>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jc w:val="center"/>
        </w:trPr>
        <w:tc>
          <w:tcPr>
            <w:tcW w:w="9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042"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51080021T000000051817-就业援助活动工作经费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jc w:val="center"/>
        </w:trPr>
        <w:tc>
          <w:tcPr>
            <w:tcW w:w="9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24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广元市人力资源和社会保障局部门</w:t>
            </w:r>
          </w:p>
        </w:tc>
        <w:tc>
          <w:tcPr>
            <w:tcW w:w="425"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实施单位（盖章）</w:t>
            </w:r>
          </w:p>
        </w:tc>
        <w:tc>
          <w:tcPr>
            <w:tcW w:w="13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广元市人才交流中心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34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6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24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79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4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1、协助指导县区举办各类专场招聘会、保障企业用工。</w:t>
            </w:r>
          </w:p>
          <w:p>
            <w:pPr>
              <w:keepNext w:val="0"/>
              <w:keepLines w:val="0"/>
              <w:widowControl/>
              <w:suppressLineNumbers w:val="0"/>
              <w:jc w:val="lef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2、承办（协办）跨区域劳务协作招聘活动。</w:t>
            </w:r>
          </w:p>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3、承办（协办）保障本地企业用工专场招聘活动。</w:t>
            </w:r>
          </w:p>
        </w:tc>
        <w:tc>
          <w:tcPr>
            <w:tcW w:w="179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为市内登记失业人员、离校未就业高校毕业生等群体“点对点”定向推送岗位信息3.07万人次，向返乡农民工群体推送岗位信息1500余个。结合国家和省市公共就业服务专项行动安排，开展“春风行动”“民营企业招聘月”等线上线下招聘活动268场，为3200余家市内外用人单位发布岗位信息22.38万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4042"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承办保障本地企业用工专场招聘活动，承(协)办跨区域劳务协作招聘活动，积极拓展就业空间，有效促进供需匹配，依托省、市各类平台广泛推介招聘信息，加强与成都、重庆、西安、杭州、等地交流合作，不断扩大求职招聘知晓面和参与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jc w:val="center"/>
        </w:trPr>
        <w:tc>
          <w:tcPr>
            <w:tcW w:w="34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01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w:t>
            </w:r>
          </w:p>
        </w:tc>
        <w:tc>
          <w:tcPr>
            <w:tcW w:w="101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67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w:t>
            </w:r>
          </w:p>
        </w:tc>
        <w:tc>
          <w:tcPr>
            <w:tcW w:w="101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7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1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7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1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7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c>
          <w:tcPr>
            <w:tcW w:w="101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7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jc w:val="center"/>
        </w:trPr>
        <w:tc>
          <w:tcPr>
            <w:tcW w:w="34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8"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开展各项招聘活动</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家/个/批次</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全年</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8"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人力资源市场、就业公共服务平台、招聘活动、就业政策推广宣传费用</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20000</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元/年</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20000</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8"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促进就业，开展各项招聘活动</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36"/>
                <w:i w:val="0"/>
                <w:iCs w:val="0"/>
                <w:lang w:val="en-US" w:eastAsia="zh-CN" w:bidi="ar"/>
              </w:rPr>
              <w:t>定性</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级</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优</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可持续发展指标</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开展各项招聘活动促进重点人群就业</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36"/>
                <w:i w:val="0"/>
                <w:iCs w:val="0"/>
                <w:lang w:val="en-US" w:eastAsia="zh-CN" w:bidi="ar"/>
              </w:rPr>
              <w:t>定性</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级</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优</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企业和个人满意</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98</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98%</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3630"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653"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积极拓展就业空间，有效促进供需匹配，依托省、市各类平台广泛推介招聘信息，加强与成都、重庆、西安、杭州、包头等地交流合作，不断扩大求职招聘知晓面和参与度。发挥市场在人力资源配置和人力资源服务行业促就业的作用，高校毕业生、农民工等重点群体高质量充分就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653"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653"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jc w:val="center"/>
        </w:trPr>
        <w:tc>
          <w:tcPr>
            <w:tcW w:w="243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项目负责人：王建文</w:t>
            </w:r>
          </w:p>
        </w:tc>
        <w:tc>
          <w:tcPr>
            <w:tcW w:w="2564"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财务负责人：陈弥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jc w:val="center"/>
        </w:trPr>
        <w:tc>
          <w:tcPr>
            <w:tcW w:w="34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1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0"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2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4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4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2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2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4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4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7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jc w:val="center"/>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9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042"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51080021Y000000176770-其他公用经费（福利、工会、公车补贴、党建、退休活动）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jc w:val="center"/>
        </w:trPr>
        <w:tc>
          <w:tcPr>
            <w:tcW w:w="9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24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广元市人力资源和社会保障局部门</w:t>
            </w:r>
          </w:p>
        </w:tc>
        <w:tc>
          <w:tcPr>
            <w:tcW w:w="425"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实施单位（盖章）</w:t>
            </w:r>
          </w:p>
        </w:tc>
        <w:tc>
          <w:tcPr>
            <w:tcW w:w="13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广元市人才交流中心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jc w:val="center"/>
        </w:trPr>
        <w:tc>
          <w:tcPr>
            <w:tcW w:w="34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6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24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79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4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保障单位日常运转，提高预算编制质量，严格执行预算</w:t>
            </w:r>
          </w:p>
        </w:tc>
        <w:tc>
          <w:tcPr>
            <w:tcW w:w="179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保障单位日常运转，提高预算编制质量，严格执行预算，公务费全年无超标现象发生.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4042"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保障单位日常运转，提高预算编制质量，严格执行预算，公务费全年无超标现象发生.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jc w:val="center"/>
        </w:trPr>
        <w:tc>
          <w:tcPr>
            <w:tcW w:w="34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01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8.34</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8.34</w:t>
            </w:r>
          </w:p>
        </w:tc>
        <w:tc>
          <w:tcPr>
            <w:tcW w:w="101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8.34</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67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8.34</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8.34</w:t>
            </w:r>
          </w:p>
        </w:tc>
        <w:tc>
          <w:tcPr>
            <w:tcW w:w="101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8.34</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7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1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7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1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7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c>
          <w:tcPr>
            <w:tcW w:w="101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7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jc w:val="center"/>
        </w:trPr>
        <w:tc>
          <w:tcPr>
            <w:tcW w:w="34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0</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8"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预算编制准确率（计算方法为：∣（执行数-预算数）/预算数∣）</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51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运转保障率</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“三公经费”控制率[计算方法为：（三公经费实际支出数/预算安排数]×100%）</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jc w:val="center"/>
        </w:trPr>
        <w:tc>
          <w:tcPr>
            <w:tcW w:w="3630"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653"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保障单位日常运转，提高预算编制质量，严格执行预算，公务费全年无超标现象发生.完成非常好！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653"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653"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继续保障单位日常运转，提高预算编制质量，严格执行预算.。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jc w:val="center"/>
        </w:trPr>
        <w:tc>
          <w:tcPr>
            <w:tcW w:w="243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项目负责人：王建文</w:t>
            </w:r>
          </w:p>
        </w:tc>
        <w:tc>
          <w:tcPr>
            <w:tcW w:w="2564"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财务负责人：陈弥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34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1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0"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2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4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4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2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2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4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4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7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jc w:val="center"/>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9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042"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51080022R000000267546-工资性支出（事业）</w:t>
            </w:r>
          </w:p>
        </w:tc>
      </w:tr>
      <w:tr>
        <w:tblPrEx>
          <w:shd w:val="clear" w:color="auto" w:fill="auto"/>
          <w:tblCellMar>
            <w:top w:w="0" w:type="dxa"/>
            <w:left w:w="108" w:type="dxa"/>
            <w:bottom w:w="0" w:type="dxa"/>
            <w:right w:w="108" w:type="dxa"/>
          </w:tblCellMar>
        </w:tblPrEx>
        <w:trPr>
          <w:trHeight w:val="512" w:hRule="atLeast"/>
          <w:jc w:val="center"/>
        </w:trPr>
        <w:tc>
          <w:tcPr>
            <w:tcW w:w="9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24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广元市人力资源和社会保障局部门</w:t>
            </w:r>
          </w:p>
        </w:tc>
        <w:tc>
          <w:tcPr>
            <w:tcW w:w="425"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实施单位（盖章）</w:t>
            </w:r>
          </w:p>
        </w:tc>
        <w:tc>
          <w:tcPr>
            <w:tcW w:w="13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广元市人才交流中心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jc w:val="center"/>
        </w:trPr>
        <w:tc>
          <w:tcPr>
            <w:tcW w:w="34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6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24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79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4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严格执行相关政策，保障工资及时发放、足额发放，预算编制科学合理，减少结余资金</w:t>
            </w:r>
          </w:p>
        </w:tc>
        <w:tc>
          <w:tcPr>
            <w:tcW w:w="179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严格执行相关政策，保障工资及时发放、足额发放，预算编制科学合理，没有结余资金，保障了职工的正常生活.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4042"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严格执行相关政策，保障工资及时发放、足额发放，预算编制科学合理，没有结余资金，保障了职工的正常生活.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jc w:val="center"/>
        </w:trPr>
        <w:tc>
          <w:tcPr>
            <w:tcW w:w="34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01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154.80</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209.51</w:t>
            </w:r>
          </w:p>
        </w:tc>
        <w:tc>
          <w:tcPr>
            <w:tcW w:w="101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209.51</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67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154.80</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209.51</w:t>
            </w:r>
          </w:p>
        </w:tc>
        <w:tc>
          <w:tcPr>
            <w:tcW w:w="101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209.51</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7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1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7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1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7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c>
          <w:tcPr>
            <w:tcW w:w="101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7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jc w:val="center"/>
        </w:trPr>
        <w:tc>
          <w:tcPr>
            <w:tcW w:w="34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51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0</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按时发放率</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结余率（计算方法为：结余数/预算数）</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0</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3630"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653"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严格执行相关政策，保障工资及时发放、足额发放，预算编制科学合理，没有结余资金，保障了职工的正常生活.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653"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653"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jc w:val="center"/>
        </w:trPr>
        <w:tc>
          <w:tcPr>
            <w:tcW w:w="243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项目负责人：王建文</w:t>
            </w:r>
          </w:p>
        </w:tc>
        <w:tc>
          <w:tcPr>
            <w:tcW w:w="2564"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财务负责人：陈弥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34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1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0"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2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4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4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2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2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4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4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7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34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1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0"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2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4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4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2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2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4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4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7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6" w:hRule="atLeast"/>
          <w:jc w:val="center"/>
        </w:trPr>
        <w:tc>
          <w:tcPr>
            <w:tcW w:w="34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1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0"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2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4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4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2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2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4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4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7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34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1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0"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2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4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4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2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2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4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4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7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jc w:val="center"/>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9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042"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51080022Y000000267568-定额公用经费（事业）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jc w:val="center"/>
        </w:trPr>
        <w:tc>
          <w:tcPr>
            <w:tcW w:w="9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24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广元市人力资源和社会保障局部门</w:t>
            </w:r>
          </w:p>
        </w:tc>
        <w:tc>
          <w:tcPr>
            <w:tcW w:w="425"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实施单位（盖章）</w:t>
            </w:r>
          </w:p>
        </w:tc>
        <w:tc>
          <w:tcPr>
            <w:tcW w:w="13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广元市人才交流中心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jc w:val="center"/>
        </w:trPr>
        <w:tc>
          <w:tcPr>
            <w:tcW w:w="34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6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24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79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4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保障单位日常运转，提高预算编制质量，严格执行预算</w:t>
            </w:r>
          </w:p>
        </w:tc>
        <w:tc>
          <w:tcPr>
            <w:tcW w:w="179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保障单位日常运转，提高预算编制质量，严格执行预算，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4042"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保障单位日常运转，提高预算编制质量，严格执行预算.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jc w:val="center"/>
        </w:trPr>
        <w:tc>
          <w:tcPr>
            <w:tcW w:w="34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01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27.60</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27.00</w:t>
            </w:r>
          </w:p>
        </w:tc>
        <w:tc>
          <w:tcPr>
            <w:tcW w:w="101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27.00</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67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27.60</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27.00</w:t>
            </w:r>
          </w:p>
        </w:tc>
        <w:tc>
          <w:tcPr>
            <w:tcW w:w="101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27.00</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7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1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7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1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7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c>
          <w:tcPr>
            <w:tcW w:w="101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7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jc w:val="center"/>
        </w:trPr>
        <w:tc>
          <w:tcPr>
            <w:tcW w:w="34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3</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8"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预算编制准确率（计算方法为：∣（执行数-预算数）/预算数∣）</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95%</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51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运转保障率</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“三公经费”控制率[计算方法为：（三公经费实际支出数/预算安排数]×100%）</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6" w:hRule="atLeast"/>
          <w:jc w:val="center"/>
        </w:trPr>
        <w:tc>
          <w:tcPr>
            <w:tcW w:w="3630"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653"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保障单位日常运转，提高预算编制质量，严格执行预算，预算编制尽量精准。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653"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预算编制不够细化精准。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653"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进一步细化精准编制预算。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243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项目负责人：王建文</w:t>
            </w:r>
          </w:p>
        </w:tc>
        <w:tc>
          <w:tcPr>
            <w:tcW w:w="2564"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财务负责人：陈弥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jc w:val="center"/>
        </w:trPr>
        <w:tc>
          <w:tcPr>
            <w:tcW w:w="34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1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10"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2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4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4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2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2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4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4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7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jc w:val="center"/>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jc w:val="center"/>
        </w:trPr>
        <w:tc>
          <w:tcPr>
            <w:tcW w:w="9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042"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51080023R000007612345-规范后市级基础绩效奖及生活补助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jc w:val="center"/>
        </w:trPr>
        <w:tc>
          <w:tcPr>
            <w:tcW w:w="9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24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广元市人力资源和社会保障局部门</w:t>
            </w:r>
          </w:p>
        </w:tc>
        <w:tc>
          <w:tcPr>
            <w:tcW w:w="425"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实施单位（盖章）</w:t>
            </w:r>
          </w:p>
        </w:tc>
        <w:tc>
          <w:tcPr>
            <w:tcW w:w="13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广元市人才交流中心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34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6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24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79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4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严格执行相关政策，保障工资及时发放、足额发放，预算编制科学合理，减少结余资金</w:t>
            </w:r>
          </w:p>
        </w:tc>
        <w:tc>
          <w:tcPr>
            <w:tcW w:w="179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严格执行相关政策，保障工资及时发放、足额发放。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4042"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严格执行相关政策，保障工资及时发放、足额发放。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jc w:val="center"/>
        </w:trPr>
        <w:tc>
          <w:tcPr>
            <w:tcW w:w="34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01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20.96</w:t>
            </w:r>
          </w:p>
        </w:tc>
        <w:tc>
          <w:tcPr>
            <w:tcW w:w="101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20.96</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67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20.96</w:t>
            </w:r>
          </w:p>
        </w:tc>
        <w:tc>
          <w:tcPr>
            <w:tcW w:w="101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20.96</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7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1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7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1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7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c>
          <w:tcPr>
            <w:tcW w:w="101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7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jc w:val="center"/>
        </w:trPr>
        <w:tc>
          <w:tcPr>
            <w:tcW w:w="346"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一级指标</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二级指标</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三级指标</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指标性质</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指标值</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度量单位</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完成值</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权重</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得分</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jc w:val="center"/>
        </w:trPr>
        <w:tc>
          <w:tcPr>
            <w:tcW w:w="346" w:type="pct"/>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51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0次</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jc w:val="center"/>
        </w:trPr>
        <w:tc>
          <w:tcPr>
            <w:tcW w:w="346" w:type="pct"/>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jc w:val="center"/>
        </w:trPr>
        <w:tc>
          <w:tcPr>
            <w:tcW w:w="346" w:type="pct"/>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按时发放率</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jc w:val="center"/>
        </w:trPr>
        <w:tc>
          <w:tcPr>
            <w:tcW w:w="346" w:type="pct"/>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结余率（计算方法为：结余数/预算数）</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0</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jc w:val="center"/>
        </w:trPr>
        <w:tc>
          <w:tcPr>
            <w:tcW w:w="346" w:type="pct"/>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51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0次</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jc w:val="center"/>
        </w:trPr>
        <w:tc>
          <w:tcPr>
            <w:tcW w:w="346" w:type="pct"/>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jc w:val="center"/>
        </w:trPr>
        <w:tc>
          <w:tcPr>
            <w:tcW w:w="346" w:type="pct"/>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按时发放率</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jc w:val="center"/>
        </w:trPr>
        <w:tc>
          <w:tcPr>
            <w:tcW w:w="346" w:type="pct"/>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结余率（计算方法为：结余数/预算数）</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0</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jc w:val="center"/>
        </w:trPr>
        <w:tc>
          <w:tcPr>
            <w:tcW w:w="3630"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67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653"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严格执行相关政策，保障工资及时发放、足额发放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653"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jc w:val="center"/>
        </w:trPr>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653"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243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项目负责人：王建文</w:t>
            </w:r>
          </w:p>
        </w:tc>
        <w:tc>
          <w:tcPr>
            <w:tcW w:w="2564"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财务负责人：陈弥</w:t>
            </w:r>
          </w:p>
        </w:tc>
      </w:tr>
    </w:tbl>
    <w:p>
      <w:pPr>
        <w:pStyle w:val="12"/>
        <w:rPr>
          <w:rFonts w:hint="eastAsia"/>
        </w:rPr>
      </w:pPr>
    </w:p>
    <w:p>
      <w:pPr>
        <w:keepNext w:val="0"/>
        <w:keepLines w:val="0"/>
        <w:pageBreakBefore w:val="0"/>
        <w:kinsoku/>
        <w:wordWrap/>
        <w:overflowPunct/>
        <w:topLinePunct w:val="0"/>
        <w:autoSpaceDE/>
        <w:autoSpaceDN/>
        <w:bidi w:val="0"/>
        <w:spacing w:line="576" w:lineRule="exact"/>
        <w:ind w:firstLine="640" w:firstLineChars="200"/>
        <w:textAlignment w:val="auto"/>
        <w:rPr>
          <w:rFonts w:hint="eastAsia" w:ascii="仿宋_GB2312" w:hAnsi="Times New Roman" w:eastAsia="仿宋_GB2312" w:cs="Times New Roman"/>
          <w:sz w:val="32"/>
          <w:szCs w:val="32"/>
          <w:lang w:val="zh-CN"/>
        </w:rPr>
      </w:pPr>
    </w:p>
    <w:p>
      <w:pPr>
        <w:pStyle w:val="12"/>
        <w:rPr>
          <w:rFonts w:hint="eastAsia"/>
          <w:lang w:val="zh-CN"/>
        </w:rPr>
      </w:pPr>
    </w:p>
    <w:p>
      <w:pPr>
        <w:keepNext w:val="0"/>
        <w:keepLines w:val="0"/>
        <w:pageBreakBefore w:val="0"/>
        <w:kinsoku/>
        <w:wordWrap/>
        <w:overflowPunct/>
        <w:topLinePunct w:val="0"/>
        <w:autoSpaceDE/>
        <w:autoSpaceDN/>
        <w:bidi w:val="0"/>
        <w:spacing w:line="576" w:lineRule="exact"/>
        <w:ind w:firstLine="640" w:firstLineChars="200"/>
        <w:textAlignment w:val="auto"/>
        <w:rPr>
          <w:rFonts w:hint="eastAsia" w:ascii="仿宋_GB2312" w:hAnsi="Times New Roman" w:eastAsia="仿宋_GB2312" w:cs="Times New Roman"/>
          <w:sz w:val="32"/>
          <w:szCs w:val="32"/>
          <w:lang w:val="zh-CN"/>
        </w:rPr>
      </w:pPr>
    </w:p>
    <w:p>
      <w:pPr>
        <w:keepNext w:val="0"/>
        <w:keepLines w:val="0"/>
        <w:pageBreakBefore w:val="0"/>
        <w:kinsoku/>
        <w:wordWrap/>
        <w:overflowPunct/>
        <w:topLinePunct w:val="0"/>
        <w:autoSpaceDE/>
        <w:autoSpaceDN/>
        <w:bidi w:val="0"/>
        <w:spacing w:line="576" w:lineRule="exact"/>
        <w:ind w:firstLine="640" w:firstLineChars="200"/>
        <w:textAlignment w:val="auto"/>
        <w:rPr>
          <w:rFonts w:hint="eastAsia" w:ascii="仿宋_GB2312" w:hAnsi="Times New Roman" w:eastAsia="仿宋_GB2312" w:cs="Times New Roman"/>
          <w:sz w:val="32"/>
          <w:szCs w:val="32"/>
          <w:lang w:val="zh-CN"/>
        </w:rPr>
      </w:pPr>
    </w:p>
    <w:p>
      <w:pPr>
        <w:keepNext w:val="0"/>
        <w:keepLines w:val="0"/>
        <w:pageBreakBefore w:val="0"/>
        <w:kinsoku/>
        <w:wordWrap/>
        <w:overflowPunct/>
        <w:topLinePunct w:val="0"/>
        <w:autoSpaceDE/>
        <w:autoSpaceDN/>
        <w:bidi w:val="0"/>
        <w:spacing w:line="576" w:lineRule="exact"/>
        <w:ind w:firstLine="640" w:firstLineChars="200"/>
        <w:textAlignment w:val="auto"/>
        <w:rPr>
          <w:rFonts w:hint="eastAsia" w:ascii="仿宋_GB2312" w:hAnsi="Times New Roman" w:eastAsia="仿宋_GB2312" w:cs="Times New Roman"/>
          <w:sz w:val="32"/>
          <w:szCs w:val="32"/>
          <w:lang w:val="zh-CN"/>
        </w:rPr>
      </w:pPr>
    </w:p>
    <w:p>
      <w:pPr>
        <w:pStyle w:val="12"/>
        <w:rPr>
          <w:rFonts w:hint="eastAsia"/>
          <w:lang w:val="zh-CN" w:eastAsia="zh-CN"/>
        </w:rPr>
      </w:pPr>
    </w:p>
    <w:p>
      <w:pPr>
        <w:pStyle w:val="2"/>
        <w:rPr>
          <w:rFonts w:hint="eastAsia" w:ascii="仿宋_GB2312" w:hAnsi="Calibri" w:eastAsia="仿宋_GB2312" w:cs="仿宋"/>
          <w:color w:val="auto"/>
          <w:kern w:val="0"/>
          <w:sz w:val="32"/>
          <w:szCs w:val="32"/>
          <w:highlight w:val="none"/>
          <w:lang w:val="en-US" w:eastAsia="zh-CN" w:bidi="ar-SA"/>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仿宋" w:hAnsi="仿宋" w:eastAsia="仿宋"/>
          <w:b w:val="0"/>
          <w:color w:val="auto"/>
          <w:highlight w:val="none"/>
        </w:rPr>
      </w:pPr>
      <w:bookmarkStart w:id="87" w:name="_Toc11931"/>
      <w:r>
        <w:rPr>
          <w:rFonts w:hint="eastAsia" w:ascii="黑体" w:hAnsi="黑体" w:eastAsia="黑体"/>
          <w:color w:val="auto"/>
          <w:sz w:val="44"/>
          <w:szCs w:val="44"/>
          <w:highlight w:val="none"/>
        </w:rPr>
        <w:t>第</w:t>
      </w:r>
      <w:r>
        <w:rPr>
          <w:rStyle w:val="20"/>
          <w:rFonts w:hint="eastAsia" w:ascii="黑体" w:hAnsi="黑体" w:eastAsia="黑体"/>
          <w:b w:val="0"/>
          <w:color w:val="auto"/>
          <w:highlight w:val="none"/>
        </w:rPr>
        <w:t>五部分附表</w:t>
      </w:r>
      <w:bookmarkEnd w:id="83"/>
      <w:bookmarkEnd w:id="84"/>
      <w:bookmarkEnd w:id="87"/>
      <w:bookmarkStart w:id="88" w:name="_Toc15396619"/>
    </w:p>
    <w:p>
      <w:pPr>
        <w:pStyle w:val="4"/>
        <w:rPr>
          <w:rFonts w:ascii="仿宋" w:hAnsi="仿宋" w:eastAsia="仿宋"/>
          <w:color w:val="auto"/>
          <w:highlight w:val="none"/>
        </w:rPr>
      </w:pPr>
      <w:bookmarkStart w:id="89" w:name="_Toc16048"/>
      <w:r>
        <w:rPr>
          <w:rFonts w:hint="eastAsia" w:ascii="仿宋" w:hAnsi="仿宋" w:eastAsia="仿宋"/>
          <w:b w:val="0"/>
          <w:color w:val="auto"/>
          <w:highlight w:val="none"/>
        </w:rPr>
        <w:t>一、收</w:t>
      </w:r>
      <w:r>
        <w:rPr>
          <w:rStyle w:val="21"/>
          <w:rFonts w:hint="eastAsia" w:ascii="仿宋" w:hAnsi="仿宋" w:eastAsia="仿宋"/>
          <w:b w:val="0"/>
          <w:bCs w:val="0"/>
          <w:color w:val="auto"/>
          <w:highlight w:val="none"/>
        </w:rPr>
        <w:t>入支出决算总表</w:t>
      </w:r>
      <w:bookmarkEnd w:id="88"/>
      <w:bookmarkEnd w:id="89"/>
    </w:p>
    <w:p>
      <w:pPr>
        <w:pStyle w:val="4"/>
        <w:rPr>
          <w:rFonts w:ascii="仿宋" w:hAnsi="仿宋" w:eastAsia="仿宋"/>
          <w:color w:val="auto"/>
          <w:highlight w:val="none"/>
        </w:rPr>
      </w:pPr>
      <w:bookmarkStart w:id="90" w:name="_Toc15396620"/>
      <w:bookmarkStart w:id="91" w:name="_Toc22212"/>
      <w:r>
        <w:rPr>
          <w:rFonts w:hint="eastAsia" w:ascii="仿宋" w:hAnsi="仿宋" w:eastAsia="仿宋"/>
          <w:b w:val="0"/>
          <w:color w:val="auto"/>
          <w:highlight w:val="none"/>
        </w:rPr>
        <w:t>二、收</w:t>
      </w:r>
      <w:r>
        <w:rPr>
          <w:rStyle w:val="21"/>
          <w:rFonts w:hint="eastAsia" w:ascii="仿宋" w:hAnsi="仿宋" w:eastAsia="仿宋"/>
          <w:b w:val="0"/>
          <w:bCs w:val="0"/>
          <w:color w:val="auto"/>
          <w:highlight w:val="none"/>
        </w:rPr>
        <w:t>入决算表</w:t>
      </w:r>
      <w:bookmarkEnd w:id="90"/>
      <w:bookmarkEnd w:id="91"/>
    </w:p>
    <w:p>
      <w:pPr>
        <w:pStyle w:val="4"/>
        <w:rPr>
          <w:rFonts w:ascii="仿宋" w:hAnsi="仿宋" w:eastAsia="仿宋"/>
          <w:color w:val="auto"/>
          <w:highlight w:val="none"/>
        </w:rPr>
      </w:pPr>
      <w:bookmarkStart w:id="92" w:name="_Toc15396621"/>
      <w:bookmarkStart w:id="93" w:name="_Toc4735"/>
      <w:r>
        <w:rPr>
          <w:rStyle w:val="21"/>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1"/>
          <w:rFonts w:hint="eastAsia" w:ascii="仿宋" w:hAnsi="仿宋" w:eastAsia="仿宋"/>
          <w:b w:val="0"/>
          <w:bCs w:val="0"/>
          <w:color w:val="auto"/>
          <w:highlight w:val="none"/>
        </w:rPr>
        <w:t>出决算表</w:t>
      </w:r>
      <w:bookmarkEnd w:id="92"/>
      <w:bookmarkEnd w:id="93"/>
    </w:p>
    <w:p>
      <w:pPr>
        <w:pStyle w:val="4"/>
        <w:rPr>
          <w:rFonts w:ascii="仿宋" w:hAnsi="仿宋" w:eastAsia="仿宋"/>
          <w:b w:val="0"/>
          <w:color w:val="auto"/>
          <w:highlight w:val="none"/>
        </w:rPr>
      </w:pPr>
      <w:bookmarkStart w:id="94" w:name="_Toc15396622"/>
      <w:bookmarkStart w:id="95" w:name="_Toc31894"/>
      <w:r>
        <w:rPr>
          <w:rStyle w:val="21"/>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1"/>
          <w:rFonts w:hint="eastAsia" w:ascii="仿宋" w:hAnsi="仿宋" w:eastAsia="仿宋"/>
          <w:b w:val="0"/>
          <w:bCs w:val="0"/>
          <w:color w:val="auto"/>
          <w:highlight w:val="none"/>
        </w:rPr>
        <w:t>政拨款收入支出决算总表</w:t>
      </w:r>
      <w:bookmarkEnd w:id="94"/>
      <w:bookmarkEnd w:id="95"/>
    </w:p>
    <w:p>
      <w:pPr>
        <w:pStyle w:val="4"/>
        <w:rPr>
          <w:rStyle w:val="21"/>
          <w:rFonts w:ascii="仿宋" w:hAnsi="仿宋" w:eastAsia="仿宋"/>
          <w:b w:val="0"/>
          <w:bCs w:val="0"/>
          <w:color w:val="auto"/>
          <w:highlight w:val="none"/>
        </w:rPr>
      </w:pPr>
      <w:bookmarkStart w:id="96" w:name="_Toc15396623"/>
      <w:bookmarkStart w:id="97" w:name="_Toc10990"/>
      <w:r>
        <w:rPr>
          <w:rStyle w:val="21"/>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1"/>
          <w:rFonts w:hint="eastAsia" w:ascii="仿宋" w:hAnsi="仿宋" w:eastAsia="仿宋"/>
          <w:b w:val="0"/>
          <w:bCs w:val="0"/>
          <w:color w:val="auto"/>
          <w:highlight w:val="none"/>
        </w:rPr>
        <w:t>政拨款支出决算明细表</w:t>
      </w:r>
      <w:bookmarkEnd w:id="96"/>
      <w:bookmarkEnd w:id="97"/>
      <w:bookmarkStart w:id="98" w:name="_Toc15396624"/>
    </w:p>
    <w:p>
      <w:pPr>
        <w:pStyle w:val="4"/>
        <w:rPr>
          <w:rFonts w:ascii="仿宋" w:hAnsi="仿宋" w:eastAsia="仿宋"/>
          <w:color w:val="auto"/>
          <w:highlight w:val="none"/>
        </w:rPr>
      </w:pPr>
      <w:bookmarkStart w:id="99" w:name="_Toc19646"/>
      <w:r>
        <w:rPr>
          <w:rStyle w:val="21"/>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1"/>
          <w:rFonts w:hint="eastAsia" w:ascii="仿宋" w:hAnsi="仿宋" w:eastAsia="仿宋"/>
          <w:b w:val="0"/>
          <w:bCs w:val="0"/>
          <w:color w:val="auto"/>
          <w:highlight w:val="none"/>
        </w:rPr>
        <w:t>般公共预算财政拨款支出决算表</w:t>
      </w:r>
      <w:bookmarkEnd w:id="98"/>
      <w:bookmarkEnd w:id="99"/>
    </w:p>
    <w:p>
      <w:pPr>
        <w:pStyle w:val="4"/>
        <w:rPr>
          <w:rFonts w:ascii="仿宋" w:hAnsi="仿宋" w:eastAsia="仿宋"/>
          <w:color w:val="auto"/>
          <w:highlight w:val="none"/>
        </w:rPr>
      </w:pPr>
      <w:bookmarkStart w:id="100" w:name="_Toc15396625"/>
      <w:bookmarkStart w:id="101" w:name="_Toc18611"/>
      <w:r>
        <w:rPr>
          <w:rStyle w:val="21"/>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1"/>
          <w:rFonts w:hint="eastAsia" w:ascii="仿宋" w:hAnsi="仿宋" w:eastAsia="仿宋"/>
          <w:b w:val="0"/>
          <w:bCs w:val="0"/>
          <w:color w:val="auto"/>
          <w:highlight w:val="none"/>
        </w:rPr>
        <w:t>般公共预算财政拨款支出决算明细表</w:t>
      </w:r>
      <w:bookmarkEnd w:id="100"/>
      <w:bookmarkEnd w:id="101"/>
    </w:p>
    <w:p>
      <w:pPr>
        <w:pStyle w:val="4"/>
        <w:rPr>
          <w:rFonts w:ascii="仿宋" w:hAnsi="仿宋" w:eastAsia="仿宋"/>
          <w:color w:val="auto"/>
          <w:highlight w:val="none"/>
        </w:rPr>
      </w:pPr>
      <w:bookmarkStart w:id="102" w:name="_Toc15396626"/>
      <w:bookmarkStart w:id="103" w:name="_Toc14550"/>
      <w:r>
        <w:rPr>
          <w:rStyle w:val="21"/>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1"/>
          <w:rFonts w:hint="eastAsia" w:ascii="仿宋" w:hAnsi="仿宋" w:eastAsia="仿宋"/>
          <w:b w:val="0"/>
          <w:bCs w:val="0"/>
          <w:color w:val="auto"/>
          <w:highlight w:val="none"/>
        </w:rPr>
        <w:t>般公共预算财政拨款基本支出决算表</w:t>
      </w:r>
      <w:bookmarkEnd w:id="102"/>
      <w:bookmarkEnd w:id="103"/>
    </w:p>
    <w:p>
      <w:pPr>
        <w:pStyle w:val="4"/>
        <w:rPr>
          <w:rFonts w:ascii="仿宋" w:hAnsi="仿宋" w:eastAsia="仿宋"/>
          <w:color w:val="auto"/>
          <w:highlight w:val="none"/>
        </w:rPr>
      </w:pPr>
      <w:bookmarkStart w:id="104" w:name="_Toc25557"/>
      <w:bookmarkStart w:id="105" w:name="_Toc15396627"/>
      <w:r>
        <w:rPr>
          <w:rStyle w:val="21"/>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1"/>
          <w:rFonts w:hint="eastAsia" w:ascii="仿宋" w:hAnsi="仿宋" w:eastAsia="仿宋"/>
          <w:b w:val="0"/>
          <w:bCs w:val="0"/>
          <w:color w:val="auto"/>
          <w:highlight w:val="none"/>
        </w:rPr>
        <w:t>般公共预算财政拨款项目支出决算表</w:t>
      </w:r>
      <w:bookmarkEnd w:id="104"/>
      <w:bookmarkEnd w:id="105"/>
    </w:p>
    <w:p>
      <w:pPr>
        <w:pStyle w:val="4"/>
        <w:rPr>
          <w:rFonts w:ascii="仿宋" w:hAnsi="仿宋" w:eastAsia="仿宋"/>
          <w:color w:val="auto"/>
          <w:highlight w:val="none"/>
        </w:rPr>
      </w:pPr>
      <w:bookmarkStart w:id="106" w:name="_Toc15396628"/>
      <w:bookmarkStart w:id="107" w:name="_Toc14931"/>
      <w:r>
        <w:rPr>
          <w:rStyle w:val="21"/>
          <w:rFonts w:hint="eastAsia" w:ascii="仿宋" w:hAnsi="仿宋" w:eastAsia="仿宋"/>
          <w:b w:val="0"/>
          <w:bCs w:val="0"/>
          <w:color w:val="auto"/>
          <w:highlight w:val="none"/>
        </w:rPr>
        <w:t>十、</w:t>
      </w:r>
      <w:bookmarkEnd w:id="106"/>
      <w:r>
        <w:rPr>
          <w:rFonts w:hint="eastAsia" w:ascii="仿宋" w:hAnsi="仿宋" w:eastAsia="仿宋"/>
          <w:b w:val="0"/>
          <w:color w:val="auto"/>
          <w:highlight w:val="none"/>
        </w:rPr>
        <w:t>政</w:t>
      </w:r>
      <w:r>
        <w:rPr>
          <w:rStyle w:val="21"/>
          <w:rFonts w:hint="eastAsia" w:ascii="仿宋" w:hAnsi="仿宋" w:eastAsia="仿宋"/>
          <w:b w:val="0"/>
          <w:bCs w:val="0"/>
          <w:color w:val="auto"/>
          <w:highlight w:val="none"/>
        </w:rPr>
        <w:t>府性基金预算财政拨款收入支出决算表</w:t>
      </w:r>
      <w:bookmarkEnd w:id="107"/>
    </w:p>
    <w:p>
      <w:pPr>
        <w:pStyle w:val="4"/>
        <w:rPr>
          <w:rFonts w:ascii="仿宋" w:hAnsi="仿宋" w:eastAsia="仿宋"/>
          <w:color w:val="auto"/>
          <w:highlight w:val="none"/>
        </w:rPr>
      </w:pPr>
      <w:bookmarkStart w:id="108" w:name="_Toc15396629"/>
      <w:bookmarkStart w:id="109" w:name="_Toc4949"/>
      <w:r>
        <w:rPr>
          <w:rStyle w:val="21"/>
          <w:rFonts w:hint="eastAsia" w:ascii="仿宋" w:hAnsi="仿宋" w:eastAsia="仿宋"/>
          <w:b w:val="0"/>
          <w:bCs w:val="0"/>
          <w:color w:val="auto"/>
          <w:highlight w:val="none"/>
        </w:rPr>
        <w:t>十一、</w:t>
      </w:r>
      <w:bookmarkEnd w:id="108"/>
      <w:r>
        <w:rPr>
          <w:rFonts w:hint="eastAsia" w:ascii="仿宋" w:hAnsi="仿宋" w:eastAsia="仿宋"/>
          <w:b w:val="0"/>
          <w:color w:val="auto"/>
          <w:highlight w:val="none"/>
        </w:rPr>
        <w:t>国</w:t>
      </w:r>
      <w:r>
        <w:rPr>
          <w:rStyle w:val="21"/>
          <w:rFonts w:hint="eastAsia" w:ascii="仿宋" w:hAnsi="仿宋" w:eastAsia="仿宋"/>
          <w:b w:val="0"/>
          <w:bCs w:val="0"/>
          <w:color w:val="auto"/>
          <w:highlight w:val="none"/>
        </w:rPr>
        <w:t>有资本经营预算</w:t>
      </w:r>
      <w:r>
        <w:rPr>
          <w:rStyle w:val="21"/>
          <w:rFonts w:hint="eastAsia" w:ascii="仿宋" w:hAnsi="仿宋" w:eastAsia="仿宋"/>
          <w:b w:val="0"/>
          <w:bCs w:val="0"/>
          <w:color w:val="auto"/>
          <w:highlight w:val="none"/>
          <w:lang w:eastAsia="zh-CN"/>
        </w:rPr>
        <w:t>财政拨款收入</w:t>
      </w:r>
      <w:r>
        <w:rPr>
          <w:rStyle w:val="21"/>
          <w:rFonts w:hint="eastAsia" w:ascii="仿宋" w:hAnsi="仿宋" w:eastAsia="仿宋"/>
          <w:b w:val="0"/>
          <w:bCs w:val="0"/>
          <w:color w:val="auto"/>
          <w:highlight w:val="none"/>
        </w:rPr>
        <w:t>支出决算表</w:t>
      </w:r>
      <w:bookmarkEnd w:id="109"/>
    </w:p>
    <w:p>
      <w:pPr>
        <w:pStyle w:val="4"/>
        <w:rPr>
          <w:rFonts w:ascii="仿宋" w:hAnsi="仿宋" w:eastAsia="仿宋"/>
          <w:color w:val="auto"/>
          <w:highlight w:val="none"/>
        </w:rPr>
      </w:pPr>
      <w:bookmarkStart w:id="110" w:name="_Toc15396630"/>
      <w:bookmarkStart w:id="111" w:name="_Toc2571"/>
      <w:r>
        <w:rPr>
          <w:rStyle w:val="21"/>
          <w:rFonts w:hint="eastAsia" w:ascii="仿宋" w:hAnsi="仿宋" w:eastAsia="仿宋"/>
          <w:b w:val="0"/>
          <w:bCs w:val="0"/>
          <w:color w:val="auto"/>
          <w:highlight w:val="none"/>
        </w:rPr>
        <w:t>十二、</w:t>
      </w:r>
      <w:bookmarkEnd w:id="110"/>
      <w:r>
        <w:rPr>
          <w:rStyle w:val="21"/>
          <w:rFonts w:hint="eastAsia" w:ascii="仿宋" w:hAnsi="仿宋" w:eastAsia="仿宋"/>
          <w:b w:val="0"/>
          <w:bCs w:val="0"/>
          <w:color w:val="auto"/>
          <w:highlight w:val="none"/>
          <w:lang w:eastAsia="zh-CN"/>
        </w:rPr>
        <w:t>国有资本经营预算财政拨款支出决算表</w:t>
      </w:r>
      <w:bookmarkEnd w:id="111"/>
    </w:p>
    <w:p>
      <w:pPr>
        <w:pStyle w:val="4"/>
        <w:rPr>
          <w:rFonts w:hint="eastAsia" w:eastAsia="仿宋"/>
          <w:color w:val="auto"/>
          <w:highlight w:val="none"/>
          <w:lang w:eastAsia="zh-CN"/>
        </w:rPr>
      </w:pPr>
      <w:bookmarkStart w:id="112" w:name="_Toc15396631"/>
      <w:bookmarkStart w:id="113" w:name="_Toc6951"/>
      <w:r>
        <w:rPr>
          <w:rStyle w:val="21"/>
          <w:rFonts w:hint="eastAsia" w:ascii="仿宋" w:hAnsi="仿宋" w:eastAsia="仿宋"/>
          <w:b w:val="0"/>
          <w:bCs w:val="0"/>
          <w:color w:val="auto"/>
          <w:highlight w:val="none"/>
        </w:rPr>
        <w:t>十三、</w:t>
      </w:r>
      <w:bookmarkEnd w:id="112"/>
      <w:r>
        <w:rPr>
          <w:rStyle w:val="21"/>
          <w:rFonts w:hint="eastAsia" w:ascii="仿宋" w:hAnsi="仿宋" w:eastAsia="仿宋"/>
          <w:b w:val="0"/>
          <w:bCs w:val="0"/>
          <w:color w:val="auto"/>
          <w:highlight w:val="none"/>
          <w:lang w:eastAsia="zh-CN"/>
        </w:rPr>
        <w:t>财政拨款“三公”经费支出决算表</w:t>
      </w:r>
      <w:bookmarkEnd w:id="113"/>
    </w:p>
    <w:sectPr>
      <w:footerReference r:id="rId8" w:type="first"/>
      <w:footerReference r:id="rId7" w:type="default"/>
      <w:pgSz w:w="11906" w:h="16838"/>
      <w:pgMar w:top="1440" w:right="1800" w:bottom="1440" w:left="1800" w:header="851" w:footer="992" w:gutter="0"/>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839CC3F-301B-4411-A1DC-F98E3B0DB7D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embedRegular r:id="rId2" w:fontKey="{C86417F9-0270-4F6B-AFA5-EF2E8E7AA284}"/>
  </w:font>
  <w:font w:name="Cambria">
    <w:panose1 w:val="02040503050406030204"/>
    <w:charset w:val="00"/>
    <w:family w:val="roman"/>
    <w:pitch w:val="default"/>
    <w:sig w:usb0="E00006FF" w:usb1="420024FF" w:usb2="02000000" w:usb3="00000000" w:csb0="2000019F" w:csb1="00000000"/>
    <w:embedRegular r:id="rId3" w:fontKey="{244D6C6F-452A-46B6-8A23-E9DD42925E47}"/>
  </w:font>
  <w:font w:name="仿宋_GB2312">
    <w:panose1 w:val="02010609030101010101"/>
    <w:charset w:val="86"/>
    <w:family w:val="modern"/>
    <w:pitch w:val="default"/>
    <w:sig w:usb0="00000001" w:usb1="080E0000" w:usb2="00000000" w:usb3="00000000" w:csb0="00040000" w:csb1="00000000"/>
    <w:embedRegular r:id="rId4" w:fontKey="{3C331A6A-09C2-4AB1-A7DF-AC8A0E5DBC50}"/>
  </w:font>
  <w:font w:name="仿宋">
    <w:panose1 w:val="02010609060101010101"/>
    <w:charset w:val="86"/>
    <w:family w:val="auto"/>
    <w:pitch w:val="default"/>
    <w:sig w:usb0="800002BF" w:usb1="38CF7CFA" w:usb2="00000016" w:usb3="00000000" w:csb0="00040001" w:csb1="00000000"/>
    <w:embedRegular r:id="rId5" w:fontKey="{1CA975EA-04ED-4599-AD32-0362B772B6A6}"/>
  </w:font>
  <w:font w:name="方正小标宋简体">
    <w:panose1 w:val="03000509000000000000"/>
    <w:charset w:val="86"/>
    <w:family w:val="script"/>
    <w:pitch w:val="default"/>
    <w:sig w:usb0="00000001" w:usb1="080E0000" w:usb2="00000000" w:usb3="00000000" w:csb0="00040000" w:csb1="00000000"/>
    <w:embedRegular r:id="rId6" w:fontKey="{A367885B-8C9F-4E25-9504-5A50E9C86E40}"/>
  </w:font>
  <w:font w:name="微软雅黑">
    <w:panose1 w:val="020B0503020204020204"/>
    <w:charset w:val="86"/>
    <w:family w:val="auto"/>
    <w:pitch w:val="default"/>
    <w:sig w:usb0="80000287" w:usb1="2ACF3C50" w:usb2="00000016" w:usb3="00000000" w:csb0="0004001F" w:csb1="00000000"/>
    <w:embedRegular r:id="rId7" w:fontKey="{2033EAAE-3635-497E-ACF6-D6B7A1DBAAE2}"/>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default"/>
        <w:lang w:val="en-US"/>
      </w:rPr>
      <w:id w:val="-1"/>
    </w:sdtPr>
    <w:sdtEndPr>
      <w:rPr>
        <w:rFonts w:hint="default"/>
        <w:lang w:val="en-US"/>
      </w:rPr>
    </w:sdtEndPr>
    <w:sdtContent>
      <w:p>
        <w:pPr>
          <w:pStyle w:val="10"/>
          <w:jc w:val="center"/>
        </w:pPr>
        <w:r>
          <w:rPr>
            <w:rFonts w:hint="eastAsia"/>
            <w:lang w:val="en-US" w:eastAsia="zh-CN"/>
          </w:rPr>
          <w:t>1</w:t>
        </w:r>
      </w:p>
    </w:sdtContent>
  </w:sdt>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sdt>
      <w:sdtPr>
        <w:rPr>
          <w:rFonts w:hint="default"/>
          <w:lang w:val="en-US"/>
        </w:rPr>
        <w:id w:val="227994299"/>
      </w:sdtPr>
      <w:sdtEndPr>
        <w:rPr>
          <w:rFonts w:hint="default"/>
          <w:lang w:val="en-US"/>
        </w:rPr>
      </w:sdtEndPr>
      <w:sdtContent/>
    </w:sdt>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2</w:t>
                    </w:r>
                    <w:r>
                      <w:fldChar w:fldCharType="end"/>
                    </w:r>
                  </w:p>
                </w:txbxContent>
              </v:textbox>
            </v:shape>
          </w:pict>
        </mc:Fallback>
      </mc:AlternateContent>
    </w:r>
    <w:sdt>
      <w:sdtPr>
        <w:rPr>
          <w:rFonts w:hint="default"/>
          <w:lang w:val="en-US"/>
        </w:rPr>
        <w:id w:val="769836273"/>
      </w:sdtPr>
      <w:sdtEndPr>
        <w:rPr>
          <w:rFonts w:hint="default"/>
          <w:lang w:val="en-US"/>
        </w:rPr>
      </w:sdtEndPr>
      <w:sdtContent/>
    </w:sdt>
  </w:p>
  <w:p>
    <w:pPr>
      <w:pStyle w:val="1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C7478B"/>
    <w:multiLevelType w:val="singleLevel"/>
    <w:tmpl w:val="B9C7478B"/>
    <w:lvl w:ilvl="0" w:tentative="0">
      <w:start w:val="1"/>
      <w:numFmt w:val="decimal"/>
      <w:suff w:val="nothing"/>
      <w:lvlText w:val="%1．"/>
      <w:lvlJc w:val="left"/>
      <w:pPr>
        <w:ind w:left="0" w:firstLine="400"/>
      </w:pPr>
      <w:rPr>
        <w:rFonts w:hint="default"/>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3818A09A"/>
    <w:multiLevelType w:val="singleLevel"/>
    <w:tmpl w:val="3818A09A"/>
    <w:lvl w:ilvl="0" w:tentative="0">
      <w:start w:val="1"/>
      <w:numFmt w:val="chineseCounting"/>
      <w:suff w:val="nothing"/>
      <w:lvlText w:val="%1、"/>
      <w:lvlJc w:val="left"/>
      <w:rPr>
        <w:rFonts w:hint="eastAsia"/>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ZjODE3Y2RjYmYxOTA5MjMwNGM5NjQ4OTIyZjY2ZmI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4F73278"/>
    <w:rsid w:val="053A62B5"/>
    <w:rsid w:val="077B153B"/>
    <w:rsid w:val="09526CCE"/>
    <w:rsid w:val="09C000DC"/>
    <w:rsid w:val="09C15C02"/>
    <w:rsid w:val="0A2032A3"/>
    <w:rsid w:val="0B3348DE"/>
    <w:rsid w:val="0B3A7C1E"/>
    <w:rsid w:val="0B8A37D8"/>
    <w:rsid w:val="0D902E4E"/>
    <w:rsid w:val="103A0129"/>
    <w:rsid w:val="104D2B8B"/>
    <w:rsid w:val="10C055FF"/>
    <w:rsid w:val="118107EC"/>
    <w:rsid w:val="11DD6519"/>
    <w:rsid w:val="126161D4"/>
    <w:rsid w:val="160142ED"/>
    <w:rsid w:val="161A600B"/>
    <w:rsid w:val="16BB723D"/>
    <w:rsid w:val="18015F3F"/>
    <w:rsid w:val="180B1483"/>
    <w:rsid w:val="1B3F107D"/>
    <w:rsid w:val="1B5313AC"/>
    <w:rsid w:val="1BE8440E"/>
    <w:rsid w:val="1D155CEE"/>
    <w:rsid w:val="1D9456B0"/>
    <w:rsid w:val="1DEC15DB"/>
    <w:rsid w:val="1E432C32"/>
    <w:rsid w:val="1E7F56EA"/>
    <w:rsid w:val="20C00EB3"/>
    <w:rsid w:val="20F57F95"/>
    <w:rsid w:val="224B710F"/>
    <w:rsid w:val="23646053"/>
    <w:rsid w:val="237C4C1C"/>
    <w:rsid w:val="240371BF"/>
    <w:rsid w:val="24B92A42"/>
    <w:rsid w:val="252F5383"/>
    <w:rsid w:val="25711CC6"/>
    <w:rsid w:val="25C74149"/>
    <w:rsid w:val="25C741E6"/>
    <w:rsid w:val="26735B46"/>
    <w:rsid w:val="27842671"/>
    <w:rsid w:val="29FD04D3"/>
    <w:rsid w:val="2ABE7A3E"/>
    <w:rsid w:val="2AF157D6"/>
    <w:rsid w:val="2BD10984"/>
    <w:rsid w:val="2CA234A8"/>
    <w:rsid w:val="2CE35D0C"/>
    <w:rsid w:val="2EFA178C"/>
    <w:rsid w:val="30B46D73"/>
    <w:rsid w:val="319F7F4E"/>
    <w:rsid w:val="31E9706D"/>
    <w:rsid w:val="32AE4075"/>
    <w:rsid w:val="332E1131"/>
    <w:rsid w:val="34B32468"/>
    <w:rsid w:val="383D272C"/>
    <w:rsid w:val="384653A1"/>
    <w:rsid w:val="39601B43"/>
    <w:rsid w:val="39AE70AB"/>
    <w:rsid w:val="3ABB3E24"/>
    <w:rsid w:val="3AF70BD4"/>
    <w:rsid w:val="3C0C0783"/>
    <w:rsid w:val="3DB8289D"/>
    <w:rsid w:val="3E3C527C"/>
    <w:rsid w:val="3F9F3A96"/>
    <w:rsid w:val="40647383"/>
    <w:rsid w:val="406D13C9"/>
    <w:rsid w:val="40E908C6"/>
    <w:rsid w:val="41085755"/>
    <w:rsid w:val="454A4722"/>
    <w:rsid w:val="484957E5"/>
    <w:rsid w:val="48B63E7D"/>
    <w:rsid w:val="48BF60AB"/>
    <w:rsid w:val="493C27E9"/>
    <w:rsid w:val="496F39ED"/>
    <w:rsid w:val="49FF41D3"/>
    <w:rsid w:val="4BE068DB"/>
    <w:rsid w:val="4BF6002B"/>
    <w:rsid w:val="4CBB7CB4"/>
    <w:rsid w:val="4ECE2238"/>
    <w:rsid w:val="4F826192"/>
    <w:rsid w:val="511A6EBF"/>
    <w:rsid w:val="511B3078"/>
    <w:rsid w:val="51532BB1"/>
    <w:rsid w:val="51DB4B86"/>
    <w:rsid w:val="530103EA"/>
    <w:rsid w:val="53755060"/>
    <w:rsid w:val="55333C3E"/>
    <w:rsid w:val="56690780"/>
    <w:rsid w:val="57BB14B0"/>
    <w:rsid w:val="58BD4DB3"/>
    <w:rsid w:val="59B12B6A"/>
    <w:rsid w:val="5A7E4B8C"/>
    <w:rsid w:val="5DB70023"/>
    <w:rsid w:val="5F6D12E1"/>
    <w:rsid w:val="63317DAB"/>
    <w:rsid w:val="637C7D45"/>
    <w:rsid w:val="63E37DC4"/>
    <w:rsid w:val="64CA39A1"/>
    <w:rsid w:val="695442B2"/>
    <w:rsid w:val="69630ADE"/>
    <w:rsid w:val="69D21513"/>
    <w:rsid w:val="6AE1287C"/>
    <w:rsid w:val="6C4A05C8"/>
    <w:rsid w:val="6CB34B3B"/>
    <w:rsid w:val="6D3B1A89"/>
    <w:rsid w:val="6DFEADDC"/>
    <w:rsid w:val="6E761835"/>
    <w:rsid w:val="6EE3392C"/>
    <w:rsid w:val="71BF4EC2"/>
    <w:rsid w:val="71DE0782"/>
    <w:rsid w:val="723F4D5F"/>
    <w:rsid w:val="72734D90"/>
    <w:rsid w:val="7412278C"/>
    <w:rsid w:val="78977D2D"/>
    <w:rsid w:val="7904082E"/>
    <w:rsid w:val="79B67B50"/>
    <w:rsid w:val="79E7B28D"/>
    <w:rsid w:val="7A83728E"/>
    <w:rsid w:val="7BBF481B"/>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0"/>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2"/>
    <w:unhideWhenUsed/>
    <w:qFormat/>
    <w:uiPriority w:val="9"/>
    <w:pPr>
      <w:keepNext/>
      <w:keepLines/>
      <w:spacing w:before="260" w:after="260" w:line="416" w:lineRule="auto"/>
      <w:outlineLvl w:val="2"/>
    </w:pPr>
    <w:rPr>
      <w:b/>
      <w:bCs/>
      <w:sz w:val="32"/>
      <w:szCs w:val="32"/>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8"/>
    <w:qFormat/>
    <w:uiPriority w:val="99"/>
    <w:pPr>
      <w:spacing w:beforeLines="30"/>
    </w:pPr>
    <w:rPr>
      <w:rFonts w:ascii="仿宋_GB2312" w:eastAsia="仿宋_GB2312"/>
      <w:kern w:val="0"/>
      <w:sz w:val="30"/>
    </w:rPr>
  </w:style>
  <w:style w:type="paragraph" w:styleId="6">
    <w:name w:val="Body Text Indent"/>
    <w:basedOn w:val="1"/>
    <w:next w:val="7"/>
    <w:qFormat/>
    <w:uiPriority w:val="0"/>
    <w:pPr>
      <w:spacing w:after="120"/>
      <w:ind w:leftChars="200"/>
    </w:pPr>
    <w:rPr>
      <w:rFonts w:ascii="仿宋_GB2312"/>
      <w:szCs w:val="32"/>
    </w:rPr>
  </w:style>
  <w:style w:type="paragraph" w:styleId="7">
    <w:name w:val="header"/>
    <w:basedOn w:val="1"/>
    <w:link w:val="24"/>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32"/>
    <w:semiHidden/>
    <w:unhideWhenUsed/>
    <w:qFormat/>
    <w:uiPriority w:val="99"/>
    <w:rPr>
      <w:sz w:val="18"/>
      <w:szCs w:val="18"/>
    </w:rPr>
  </w:style>
  <w:style w:type="paragraph" w:styleId="10">
    <w:name w:val="footer"/>
    <w:basedOn w:val="1"/>
    <w:link w:val="26"/>
    <w:qFormat/>
    <w:uiPriority w:val="99"/>
    <w:pPr>
      <w:tabs>
        <w:tab w:val="center" w:pos="4153"/>
        <w:tab w:val="right" w:pos="8306"/>
      </w:tabs>
      <w:snapToGrid w:val="0"/>
      <w:jc w:val="left"/>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able of figures"/>
    <w:basedOn w:val="1"/>
    <w:next w:val="1"/>
    <w:qFormat/>
    <w:uiPriority w:val="0"/>
    <w:pPr>
      <w:ind w:left="200" w:leftChars="200" w:hanging="200" w:hangingChars="200"/>
    </w:pPr>
    <w:rPr>
      <w:rFonts w:eastAsia="仿宋_GB2312"/>
    </w:rPr>
  </w:style>
  <w:style w:type="paragraph" w:styleId="13">
    <w:name w:val="toc 2"/>
    <w:basedOn w:val="1"/>
    <w:next w:val="1"/>
    <w:unhideWhenUsed/>
    <w:qFormat/>
    <w:uiPriority w:val="39"/>
    <w:pPr>
      <w:tabs>
        <w:tab w:val="right" w:leader="dot" w:pos="8296"/>
      </w:tabs>
      <w:ind w:left="420" w:leftChars="200"/>
    </w:pPr>
  </w:style>
  <w:style w:type="paragraph" w:styleId="14">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5">
    <w:name w:val="Body Text First Indent 2"/>
    <w:basedOn w:val="6"/>
    <w:unhideWhenUsed/>
    <w:qFormat/>
    <w:uiPriority w:val="99"/>
    <w:pPr>
      <w:ind w:firstLine="420" w:firstLineChars="200"/>
    </w:pPr>
  </w:style>
  <w:style w:type="character" w:styleId="18">
    <w:name w:val="Strong"/>
    <w:basedOn w:val="17"/>
    <w:qFormat/>
    <w:uiPriority w:val="99"/>
    <w:rPr>
      <w:b/>
    </w:rPr>
  </w:style>
  <w:style w:type="character" w:styleId="19">
    <w:name w:val="Hyperlink"/>
    <w:basedOn w:val="17"/>
    <w:unhideWhenUsed/>
    <w:qFormat/>
    <w:uiPriority w:val="99"/>
    <w:rPr>
      <w:color w:val="0000FF" w:themeColor="hyperlink"/>
      <w:u w:val="single"/>
      <w14:textFill>
        <w14:solidFill>
          <w14:schemeClr w14:val="hlink"/>
        </w14:solidFill>
      </w14:textFill>
    </w:rPr>
  </w:style>
  <w:style w:type="character" w:customStyle="1" w:styleId="20">
    <w:name w:val="标题 1 Char"/>
    <w:basedOn w:val="17"/>
    <w:link w:val="3"/>
    <w:qFormat/>
    <w:uiPriority w:val="9"/>
    <w:rPr>
      <w:rFonts w:ascii="Times New Roman" w:hAnsi="Times New Roman"/>
      <w:b/>
      <w:bCs/>
      <w:kern w:val="44"/>
      <w:sz w:val="44"/>
      <w:szCs w:val="44"/>
    </w:rPr>
  </w:style>
  <w:style w:type="character" w:customStyle="1" w:styleId="21">
    <w:name w:val="标题 2 Char"/>
    <w:basedOn w:val="17"/>
    <w:link w:val="4"/>
    <w:qFormat/>
    <w:uiPriority w:val="9"/>
    <w:rPr>
      <w:rFonts w:asciiTheme="majorHAnsi" w:hAnsiTheme="majorHAnsi" w:eastAsiaTheme="majorEastAsia" w:cstheme="majorBidi"/>
      <w:b/>
      <w:bCs/>
      <w:kern w:val="2"/>
      <w:sz w:val="32"/>
      <w:szCs w:val="32"/>
    </w:rPr>
  </w:style>
  <w:style w:type="character" w:customStyle="1" w:styleId="22">
    <w:name w:val="标题 3 Char"/>
    <w:basedOn w:val="17"/>
    <w:link w:val="5"/>
    <w:qFormat/>
    <w:uiPriority w:val="9"/>
    <w:rPr>
      <w:rFonts w:ascii="Times New Roman" w:hAnsi="Times New Roman"/>
      <w:b/>
      <w:bCs/>
      <w:kern w:val="2"/>
      <w:sz w:val="32"/>
      <w:szCs w:val="32"/>
    </w:rPr>
  </w:style>
  <w:style w:type="character" w:customStyle="1" w:styleId="23">
    <w:name w:val="Header Char"/>
    <w:basedOn w:val="17"/>
    <w:semiHidden/>
    <w:qFormat/>
    <w:uiPriority w:val="99"/>
    <w:rPr>
      <w:rFonts w:ascii="Times New Roman" w:hAnsi="Times New Roman"/>
      <w:sz w:val="18"/>
      <w:szCs w:val="18"/>
    </w:rPr>
  </w:style>
  <w:style w:type="character" w:customStyle="1" w:styleId="24">
    <w:name w:val="页眉 Char"/>
    <w:link w:val="7"/>
    <w:semiHidden/>
    <w:qFormat/>
    <w:locked/>
    <w:uiPriority w:val="99"/>
    <w:rPr>
      <w:sz w:val="18"/>
    </w:rPr>
  </w:style>
  <w:style w:type="character" w:customStyle="1" w:styleId="25">
    <w:name w:val="Footer Char"/>
    <w:basedOn w:val="17"/>
    <w:semiHidden/>
    <w:qFormat/>
    <w:uiPriority w:val="99"/>
    <w:rPr>
      <w:rFonts w:ascii="Times New Roman" w:hAnsi="Times New Roman"/>
      <w:sz w:val="18"/>
      <w:szCs w:val="18"/>
    </w:rPr>
  </w:style>
  <w:style w:type="character" w:customStyle="1" w:styleId="26">
    <w:name w:val="页脚 Char"/>
    <w:link w:val="10"/>
    <w:qFormat/>
    <w:locked/>
    <w:uiPriority w:val="99"/>
    <w:rPr>
      <w:sz w:val="18"/>
    </w:rPr>
  </w:style>
  <w:style w:type="character" w:customStyle="1" w:styleId="27">
    <w:name w:val="Body Text Char"/>
    <w:basedOn w:val="17"/>
    <w:semiHidden/>
    <w:qFormat/>
    <w:uiPriority w:val="99"/>
    <w:rPr>
      <w:rFonts w:ascii="Times New Roman" w:hAnsi="Times New Roman"/>
      <w:szCs w:val="24"/>
    </w:rPr>
  </w:style>
  <w:style w:type="character" w:customStyle="1" w:styleId="28">
    <w:name w:val="正文文本 Char"/>
    <w:link w:val="2"/>
    <w:qFormat/>
    <w:locked/>
    <w:uiPriority w:val="99"/>
    <w:rPr>
      <w:rFonts w:ascii="仿宋_GB2312" w:hAnsi="Times New Roman" w:eastAsia="仿宋_GB2312"/>
      <w:sz w:val="24"/>
    </w:rPr>
  </w:style>
  <w:style w:type="paragraph" w:customStyle="1" w:styleId="29">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30">
    <w:name w:val="List Paragraph"/>
    <w:basedOn w:val="1"/>
    <w:qFormat/>
    <w:uiPriority w:val="34"/>
    <w:pPr>
      <w:ind w:firstLine="420" w:firstLineChars="200"/>
    </w:pPr>
  </w:style>
  <w:style w:type="paragraph" w:customStyle="1" w:styleId="31">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2">
    <w:name w:val="批注框文本 Char"/>
    <w:basedOn w:val="17"/>
    <w:link w:val="9"/>
    <w:semiHidden/>
    <w:qFormat/>
    <w:uiPriority w:val="99"/>
    <w:rPr>
      <w:rFonts w:ascii="Times New Roman" w:hAnsi="Times New Roman"/>
      <w:kern w:val="2"/>
      <w:sz w:val="18"/>
      <w:szCs w:val="18"/>
    </w:rPr>
  </w:style>
  <w:style w:type="paragraph" w:customStyle="1" w:styleId="33">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4">
    <w:name w:val="WPSOffice手动目录 1"/>
    <w:qFormat/>
    <w:uiPriority w:val="0"/>
    <w:pPr>
      <w:ind w:leftChars="0"/>
    </w:pPr>
    <w:rPr>
      <w:rFonts w:ascii="Times New Roman" w:hAnsi="Times New Roman" w:eastAsia="宋体" w:cs="Times New Roman"/>
      <w:sz w:val="20"/>
      <w:szCs w:val="20"/>
    </w:rPr>
  </w:style>
  <w:style w:type="paragraph" w:customStyle="1" w:styleId="35">
    <w:name w:val="WPSOffice手动目录 2"/>
    <w:qFormat/>
    <w:uiPriority w:val="0"/>
    <w:pPr>
      <w:ind w:leftChars="200"/>
    </w:pPr>
    <w:rPr>
      <w:rFonts w:ascii="Times New Roman" w:hAnsi="Times New Roman" w:eastAsia="宋体" w:cs="Times New Roman"/>
      <w:sz w:val="20"/>
      <w:szCs w:val="20"/>
    </w:rPr>
  </w:style>
  <w:style w:type="character" w:customStyle="1" w:styleId="36">
    <w:name w:val="font81"/>
    <w:basedOn w:val="17"/>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chart" Target="charts/chart6.xml"/><Relationship Id="rId14" Type="http://schemas.openxmlformats.org/officeDocument/2006/relationships/chart" Target="charts/chart5.xml"/><Relationship Id="rId13" Type="http://schemas.openxmlformats.org/officeDocument/2006/relationships/chart" Target="charts/chart4.xml"/><Relationship Id="rId12" Type="http://schemas.openxmlformats.org/officeDocument/2006/relationships/chart" Target="charts/chart3.xml"/><Relationship Id="rId11" Type="http://schemas.openxmlformats.org/officeDocument/2006/relationships/chart" Target="charts/chart2.xml"/><Relationship Id="rId10" Type="http://schemas.openxmlformats.org/officeDocument/2006/relationships/chart" Target="charts/chart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4.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19971;&#22812;\Desktop\2022&#24180;&#20915;&#31639;&#23457;&#26680;&#22270;&#31034;.xlsx"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收、支决算总计变动情况图</c:v>
                </c:pt>
              </c:strCache>
            </c:strRef>
          </c:tx>
          <c:spPr>
            <a:solidFill>
              <a:schemeClr val="accent1"/>
            </a:solidFill>
            <a:ln>
              <a:noFill/>
            </a:ln>
            <a:effectLst/>
          </c:spPr>
          <c:invertIfNegative val="0"/>
          <c:dLbls>
            <c:delete val="1"/>
          </c:dLbls>
          <c:cat>
            <c:strRef>
              <c:f>Sheet1!$A$2:$A$3</c:f>
              <c:strCache>
                <c:ptCount val="2"/>
                <c:pt idx="0">
                  <c:v>2021年343.81万元</c:v>
                </c:pt>
                <c:pt idx="1">
                  <c:v>2022年度441.62万元</c:v>
                </c:pt>
              </c:strCache>
            </c:strRef>
          </c:cat>
          <c:val>
            <c:numRef>
              <c:f>Sheet1!$B$2:$B$3</c:f>
              <c:numCache>
                <c:formatCode>General</c:formatCode>
                <c:ptCount val="2"/>
                <c:pt idx="0">
                  <c:v>4.3</c:v>
                </c:pt>
                <c:pt idx="1">
                  <c:v>2.5</c:v>
                </c:pt>
              </c:numCache>
            </c:numRef>
          </c:val>
        </c:ser>
        <c:dLbls>
          <c:showLegendKey val="0"/>
          <c:showVal val="0"/>
          <c:showCatName val="0"/>
          <c:showSerName val="0"/>
          <c:showPercent val="0"/>
          <c:showBubbleSize val="0"/>
        </c:dLbls>
        <c:gapWidth val="246"/>
        <c:overlap val="-28"/>
        <c:axId val="774360405"/>
        <c:axId val="898741695"/>
      </c:barChart>
      <c:catAx>
        <c:axId val="77436040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8741695"/>
        <c:crosses val="autoZero"/>
        <c:auto val="1"/>
        <c:lblAlgn val="ctr"/>
        <c:lblOffset val="100"/>
        <c:noMultiLvlLbl val="0"/>
      </c:catAx>
      <c:valAx>
        <c:axId val="898741695"/>
        <c:scaling>
          <c:orientation val="minMax"/>
        </c:scaling>
        <c:delete val="0"/>
        <c:axPos val="l"/>
        <c:majorGridlines>
          <c:spPr>
            <a:ln w="9525" cap="flat" cmpd="sng" algn="ctr">
              <a:solidFill>
                <a:schemeClr val="bg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4360405"/>
        <c:crosses val="autoZero"/>
        <c:crossBetween val="between"/>
      </c:valAx>
      <c:spPr>
        <a:noFill/>
        <a:ln>
          <a:noFill/>
        </a:ln>
        <a:effectLst/>
      </c:spPr>
    </c:plotArea>
    <c:legend>
      <c:legendPos val="b"/>
      <c:layout>
        <c:manualLayout>
          <c:xMode val="edge"/>
          <c:yMode val="edge"/>
          <c:x val="0.332284950463909"/>
          <c:y val="0.866501854140915"/>
          <c:w val="0.397861298946375"/>
          <c:h val="0.107849196538937"/>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收入决算结构图</c:v>
                </c:pt>
              </c:strCache>
            </c:strRef>
          </c:tx>
          <c:explosion val="0"/>
          <c:dPt>
            <c:idx val="0"/>
            <c:bubble3D val="0"/>
          </c:dPt>
          <c:dLbls>
            <c:delete val="1"/>
          </c:dLbls>
          <c:cat>
            <c:strRef>
              <c:f>Sheet1!$A$2</c:f>
              <c:strCache>
                <c:ptCount val="1"/>
                <c:pt idx="0">
                  <c:v>一般公共预算财政拨款收入440.95万元</c:v>
                </c:pt>
              </c:strCache>
            </c:strRef>
          </c:cat>
          <c:val>
            <c:numRef>
              <c:f>Sheet1!$B$2</c:f>
              <c:numCache>
                <c:formatCode>0%</c:formatCode>
                <c:ptCount val="1"/>
                <c:pt idx="0">
                  <c:v>1</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30348857191957"/>
          <c:y val="0.439666666666667"/>
          <c:w val="0.349029042790858"/>
          <c:h val="0.283666666666667"/>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支出决算结构图</c:v>
                </c:pt>
              </c:strCache>
            </c:strRef>
          </c:tx>
          <c:explosion val="0"/>
          <c:dPt>
            <c:idx val="0"/>
            <c:bubble3D val="0"/>
          </c:dPt>
          <c:dPt>
            <c:idx val="1"/>
            <c:bubble3D val="0"/>
          </c:dPt>
          <c:dLbls>
            <c:delete val="1"/>
          </c:dLbls>
          <c:cat>
            <c:strRef>
              <c:f>Sheet1!$A$2:$A$3</c:f>
              <c:strCache>
                <c:ptCount val="2"/>
                <c:pt idx="0">
                  <c:v>基本支出395.02万元</c:v>
                </c:pt>
                <c:pt idx="1">
                  <c:v>项目支出18.57万元</c:v>
                </c:pt>
              </c:strCache>
            </c:strRef>
          </c:cat>
          <c:val>
            <c:numRef>
              <c:f>Sheet1!$B$2:$B$3</c:f>
              <c:numCache>
                <c:formatCode>0%</c:formatCode>
                <c:ptCount val="2"/>
                <c:pt idx="0">
                  <c:v>0.955</c:v>
                </c:pt>
                <c:pt idx="1">
                  <c:v>0.045</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[2022年决算审核图示.xlsx]Sheet1!$B$18</c:f>
              <c:strCache>
                <c:ptCount val="1"/>
                <c:pt idx="0">
                  <c:v>金额（万元）</c:v>
                </c:pt>
              </c:strCache>
            </c:strRef>
          </c:tx>
          <c:spPr>
            <a:gradFill>
              <a:gsLst>
                <a:gs pos="0">
                  <a:schemeClr val="accent1">
                    <a:lumMod val="40000"/>
                    <a:lumOff val="60000"/>
                  </a:schemeClr>
                </a:gs>
                <a:gs pos="90000">
                  <a:schemeClr val="accent1"/>
                </a:gs>
              </a:gsLst>
              <a:lin ang="5400000" scaled="0"/>
            </a:gradFill>
            <a:ln>
              <a:gradFill>
                <a:gsLst>
                  <a:gs pos="0">
                    <a:schemeClr val="accent1"/>
                  </a:gs>
                  <a:gs pos="100000">
                    <a:schemeClr val="accent1">
                      <a:lumMod val="75000"/>
                    </a:schemeClr>
                  </a:gs>
                </a:gsLst>
                <a:lin ang="5400000" scaled="1"/>
              </a:gradFill>
            </a:ln>
            <a:effectLst>
              <a:outerShdw blurRad="76200" dist="25400" dir="2700000" algn="tl" rotWithShape="0">
                <a:schemeClr val="accent1">
                  <a:lumMod val="50000"/>
                  <a:alpha val="30000"/>
                </a:schemeClr>
              </a:outerShdw>
            </a:effectLst>
          </c:spPr>
          <c:invertIfNegative val="0"/>
          <c:dLbls>
            <c:numFmt formatCode="General" sourceLinked="1"/>
            <c:spPr>
              <a:solidFill>
                <a:sysClr val="window" lastClr="FFFFFF"/>
              </a:solidFill>
              <a:ln>
                <a:solidFill>
                  <a:sysClr val="windowText" lastClr="000000">
                    <a:lumMod val="25000"/>
                    <a:lumOff val="75000"/>
                  </a:sysClr>
                </a:solid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oundRect">
                    <a:avLst/>
                  </a:prstGeom>
                  <a:noFill/>
                  <a:ln>
                    <a:noFill/>
                  </a:ln>
                </c15:spPr>
                <c15:layout/>
                <c15:showLeaderLines val="1"/>
                <c15:leaderLines>
                  <c:spPr>
                    <a:ln w="9525" cap="flat" cmpd="sng" algn="ctr">
                      <a:solidFill>
                        <a:schemeClr val="tx1">
                          <a:lumMod val="35000"/>
                          <a:lumOff val="65000"/>
                        </a:schemeClr>
                      </a:solidFill>
                      <a:round/>
                    </a:ln>
                    <a:effectLst/>
                  </c:spPr>
                </c15:leaderLines>
              </c:ext>
            </c:extLst>
          </c:dLbls>
          <c:cat>
            <c:strRef>
              <c:f>[2022年决算审核图示.xlsx]Sheet1!$A$19:$A$20</c:f>
              <c:strCache>
                <c:ptCount val="2"/>
                <c:pt idx="0">
                  <c:v>2022年度</c:v>
                </c:pt>
                <c:pt idx="1">
                  <c:v>2021年度</c:v>
                </c:pt>
              </c:strCache>
            </c:strRef>
          </c:cat>
          <c:val>
            <c:numRef>
              <c:f>[2022年决算审核图示.xlsx]Sheet1!$B$19:$B$20</c:f>
              <c:numCache>
                <c:formatCode>#,##0.00</c:formatCode>
                <c:ptCount val="2"/>
                <c:pt idx="0">
                  <c:v>441.63</c:v>
                </c:pt>
                <c:pt idx="1" c:formatCode="General">
                  <c:v>343.81</c:v>
                </c:pt>
              </c:numCache>
            </c:numRef>
          </c:val>
        </c:ser>
        <c:dLbls>
          <c:showLegendKey val="0"/>
          <c:showVal val="1"/>
          <c:showCatName val="0"/>
          <c:showSerName val="0"/>
          <c:showPercent val="0"/>
          <c:showBubbleSize val="0"/>
        </c:dLbls>
        <c:gapWidth val="246"/>
        <c:overlap val="-28"/>
        <c:axId val="70422227"/>
        <c:axId val="800024946"/>
      </c:barChart>
      <c:catAx>
        <c:axId val="704222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0024946"/>
        <c:crosses val="autoZero"/>
        <c:auto val="1"/>
        <c:lblAlgn val="ctr"/>
        <c:lblOffset val="100"/>
        <c:noMultiLvlLbl val="0"/>
      </c:catAx>
      <c:valAx>
        <c:axId val="800024946"/>
        <c:scaling>
          <c:orientation val="minMax"/>
        </c:scaling>
        <c:delete val="0"/>
        <c:axPos val="l"/>
        <c:majorGridlines>
          <c:spPr>
            <a:ln w="9525" cap="flat" cmpd="sng" algn="ctr">
              <a:solidFill>
                <a:schemeClr val="bg1">
                  <a:lumMod val="902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042222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一般公共预算财政拨款支出决算变动情况</c:v>
                </c:pt>
              </c:strCache>
            </c:strRef>
          </c:tx>
          <c:invertIfNegative val="0"/>
          <c:dLbls>
            <c:delete val="1"/>
          </c:dLbls>
          <c:cat>
            <c:strRef>
              <c:f>Sheet1!$A$2:$A$3</c:f>
              <c:strCache>
                <c:ptCount val="2"/>
                <c:pt idx="0">
                  <c:v>2021年341.8万元</c:v>
                </c:pt>
                <c:pt idx="1">
                  <c:v>2022年413.59万元</c:v>
                </c:pt>
              </c:strCache>
            </c:strRef>
          </c:cat>
          <c:val>
            <c:numRef>
              <c:f>Sheet1!$B$2:$B$3</c:f>
              <c:numCache>
                <c:formatCode>General</c:formatCode>
                <c:ptCount val="2"/>
                <c:pt idx="0">
                  <c:v>341.8</c:v>
                </c:pt>
                <c:pt idx="1">
                  <c:v>413.59</c:v>
                </c:pt>
              </c:numCache>
            </c:numRef>
          </c:val>
        </c:ser>
        <c:dLbls>
          <c:showLegendKey val="0"/>
          <c:showVal val="0"/>
          <c:showCatName val="0"/>
          <c:showSerName val="0"/>
          <c:showPercent val="0"/>
          <c:showBubbleSize val="0"/>
        </c:dLbls>
        <c:gapWidth val="150"/>
        <c:axId val="68662400"/>
        <c:axId val="68663936"/>
      </c:barChart>
      <c:catAx>
        <c:axId val="68662400"/>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68663936"/>
        <c:crosses val="autoZero"/>
        <c:auto val="1"/>
        <c:lblAlgn val="ctr"/>
        <c:lblOffset val="100"/>
        <c:noMultiLvlLbl val="0"/>
      </c:catAx>
      <c:valAx>
        <c:axId val="6866393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68662400"/>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一般公共预算财政拨款支出决算结构</c:v>
                </c:pt>
              </c:strCache>
            </c:strRef>
          </c:tx>
          <c:explosion val="0"/>
          <c:dPt>
            <c:idx val="0"/>
            <c:bubble3D val="0"/>
          </c:dPt>
          <c:dPt>
            <c:idx val="1"/>
            <c:bubble3D val="0"/>
          </c:dPt>
          <c:dPt>
            <c:idx val="2"/>
            <c:bubble3D val="0"/>
          </c:dPt>
          <c:dLbls>
            <c:delete val="1"/>
          </c:dLbls>
          <c:cat>
            <c:strRef>
              <c:f>Sheet1!$A$2:$A$4</c:f>
              <c:strCache>
                <c:ptCount val="3"/>
                <c:pt idx="0">
                  <c:v>社会保障和就业支出366.07万元</c:v>
                </c:pt>
                <c:pt idx="1">
                  <c:v>卫生健康支出9.99万元</c:v>
                </c:pt>
                <c:pt idx="2">
                  <c:v>住房保障支出37.53万元</c:v>
                </c:pt>
              </c:strCache>
            </c:strRef>
          </c:cat>
          <c:val>
            <c:numRef>
              <c:f>Sheet1!$B$2:$B$4</c:f>
              <c:numCache>
                <c:formatCode>0.00%</c:formatCode>
                <c:ptCount val="3"/>
                <c:pt idx="0">
                  <c:v>0.885</c:v>
                </c:pt>
                <c:pt idx="1">
                  <c:v>0.024</c:v>
                </c:pt>
                <c:pt idx="2">
                  <c:v>0.091</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004">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styleClr val="auto"/>
    </cs:effectRef>
    <cs:fontRef idx="minor">
      <a:schemeClr val="dk1"/>
    </cs:fontRef>
    <cs:spPr>
      <a:gradFill>
        <a:gsLst>
          <a:gs pos="0">
            <a:schemeClr val="phClr">
              <a:lumMod val="40000"/>
              <a:lumOff val="60000"/>
            </a:schemeClr>
          </a:gs>
          <a:gs pos="90000">
            <a:schemeClr val="phClr"/>
          </a:gs>
        </a:gsLst>
        <a:lin ang="5400000" scaled="0"/>
      </a:gradFill>
      <a:ln>
        <a:gradFill>
          <a:gsLst>
            <a:gs pos="0">
              <a:schemeClr val="phClr"/>
            </a:gs>
            <a:gs pos="100000">
              <a:schemeClr val="phClr">
                <a:lumMod val="75000"/>
              </a:schemeClr>
            </a:gs>
          </a:gsLst>
          <a:lin ang="5400000" scaled="1"/>
        </a:gradFill>
      </a:ln>
      <a:effectLst>
        <a:outerShdw blurRad="76200" dist="25400" dir="2700000" algn="tl" rotWithShape="0">
          <a:schemeClr val="phClr">
            <a:lumMod val="50000"/>
            <a:alpha val="30000"/>
          </a:schemeClr>
        </a:outerShdw>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四川省财政厅</Company>
  <Pages>24</Pages>
  <Words>1299</Words>
  <Characters>7410</Characters>
  <Lines>61</Lines>
  <Paragraphs>17</Paragraphs>
  <TotalTime>1</TotalTime>
  <ScaleCrop>false</ScaleCrop>
  <LinksUpToDate>false</LinksUpToDate>
  <CharactersWithSpaces>8692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2020-08-05T09:49:00Z</dcterms:created>
  <dc:creator>曹颖</dc:creator>
  <cp:lastModifiedBy>YY</cp:lastModifiedBy>
  <cp:lastPrinted>2023-07-31T10:35:00Z</cp:lastPrinted>
  <dcterms:modified xsi:type="dcterms:W3CDTF">2023-10-20T03:37:15Z</dcterms:modified>
  <dc:title>四川省***</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6B70361D626A4593B4A9C4A901EC4F63</vt:lpwstr>
  </property>
</Properties>
</file>