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7425"/>
      <w:bookmarkStart w:id="1" w:name="_Toc15378441"/>
      <w:bookmarkStart w:id="2" w:name="_Toc15396475"/>
      <w:bookmarkStart w:id="3" w:name="_Toc15396597"/>
      <w:bookmarkStart w:id="4" w:name="_Toc15377193"/>
      <w:bookmarkStart w:id="5" w:name="_Toc15306267"/>
      <w:bookmarkStart w:id="306" w:name="_GoBack"/>
      <w:bookmarkEnd w:id="306"/>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621"/>
      <w:bookmarkStart w:id="7" w:name="_Toc15231"/>
      <w:bookmarkStart w:id="8" w:name="_Toc17225"/>
      <w:bookmarkStart w:id="9" w:name="_Toc1454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bookmarkEnd w:id="9"/>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0" w:name="_Toc15378442"/>
      <w:bookmarkStart w:id="11" w:name="_Toc15377426"/>
      <w:bookmarkStart w:id="12" w:name="_Toc7924"/>
      <w:bookmarkStart w:id="13" w:name="_Toc15396598"/>
      <w:bookmarkStart w:id="14" w:name="_Toc22551"/>
      <w:bookmarkStart w:id="15" w:name="_Toc15377194"/>
      <w:bookmarkStart w:id="16" w:name="_Toc15396476"/>
      <w:bookmarkStart w:id="17" w:name="_Toc21531"/>
      <w:bookmarkStart w:id="18" w:name="_Toc14885"/>
      <w:r>
        <w:rPr>
          <w:rFonts w:hint="eastAsia" w:ascii="方正小标宋简体" w:hAnsi="方正小标宋简体" w:eastAsia="方正小标宋简体" w:cs="方正小标宋简体"/>
          <w:color w:val="auto"/>
          <w:sz w:val="72"/>
          <w:szCs w:val="72"/>
          <w:highlight w:val="none"/>
          <w:lang w:eastAsia="zh-CN"/>
        </w:rPr>
        <w:t>广元市</w:t>
      </w:r>
      <w:bookmarkEnd w:id="5"/>
      <w:bookmarkStart w:id="19" w:name="_Toc15306268"/>
      <w:r>
        <w:rPr>
          <w:rFonts w:hint="eastAsia" w:ascii="方正小标宋简体" w:hAnsi="方正小标宋简体" w:eastAsia="方正小标宋简体" w:cs="方正小标宋简体"/>
          <w:color w:val="auto"/>
          <w:sz w:val="72"/>
          <w:szCs w:val="72"/>
          <w:highlight w:val="none"/>
          <w:lang w:val="en-US" w:eastAsia="zh-CN"/>
        </w:rPr>
        <w:t>人力资源和社会保障局</w:t>
      </w:r>
      <w:r>
        <w:rPr>
          <w:rFonts w:hint="eastAsia" w:ascii="方正小标宋简体" w:hAnsi="方正小标宋简体" w:eastAsia="方正小标宋简体" w:cs="方正小标宋简体"/>
          <w:color w:val="auto"/>
          <w:sz w:val="72"/>
          <w:szCs w:val="72"/>
          <w:highlight w:val="none"/>
        </w:rPr>
        <w:t>部门决算</w:t>
      </w:r>
      <w:bookmarkEnd w:id="10"/>
      <w:bookmarkEnd w:id="11"/>
      <w:bookmarkEnd w:id="12"/>
      <w:bookmarkEnd w:id="13"/>
      <w:bookmarkEnd w:id="14"/>
      <w:bookmarkEnd w:id="15"/>
      <w:bookmarkEnd w:id="16"/>
      <w:bookmarkEnd w:id="17"/>
      <w:bookmarkEnd w:id="18"/>
      <w:bookmarkEnd w:id="19"/>
    </w:p>
    <w:p>
      <w:pPr>
        <w:widowControl/>
        <w:jc w:val="center"/>
        <w:rPr>
          <w:rFonts w:hint="eastAsia" w:ascii="黑体" w:hAnsi="黑体" w:eastAsia="黑体"/>
          <w:color w:val="auto"/>
          <w:sz w:val="48"/>
          <w:szCs w:val="48"/>
          <w:highlight w:val="none"/>
        </w:rPr>
        <w:sectPr>
          <w:pgSz w:w="11906" w:h="16838"/>
          <w:pgMar w:top="2098" w:right="1474" w:bottom="1984" w:left="1587" w:header="851" w:footer="1559" w:gutter="0"/>
          <w:pgNumType w:fmt="decimal" w:start="1"/>
          <w:cols w:space="425" w:num="1"/>
          <w:docGrid w:type="lines" w:linePitch="312" w:charSpace="0"/>
        </w:sectPr>
      </w:pPr>
    </w:p>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7</w:t>
      </w:r>
      <w:r>
        <w:rPr>
          <w:rFonts w:hint="eastAsia"/>
          <w:color w:val="auto"/>
          <w:highlight w:val="none"/>
        </w:rPr>
        <w:t>日</w:t>
      </w:r>
    </w:p>
    <w:sdt>
      <w:sdtPr>
        <w:rPr>
          <w:rFonts w:ascii="宋体" w:hAnsi="宋体" w:eastAsia="宋体" w:cs="Times New Roman"/>
          <w:kern w:val="2"/>
          <w:sz w:val="21"/>
          <w:szCs w:val="24"/>
          <w:lang w:val="en-US" w:eastAsia="zh-CN" w:bidi="ar-SA"/>
        </w:rPr>
        <w:id w:val="147458937"/>
        <w15:color w:val="DBDBDB"/>
        <w:docPartObj>
          <w:docPartGallery w:val="Table of Contents"/>
          <w:docPartUnique/>
        </w:docPartObj>
      </w:sdtPr>
      <w:sdtEndPr>
        <w:rPr>
          <w:rFonts w:hint="eastAsia" w:ascii="黑体" w:hAnsi="黑体"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36"/>
            <w:tabs>
              <w:tab w:val="right" w:leader="dot" w:pos="8845"/>
            </w:tabs>
            <w:rPr>
              <w:b/>
            </w:rPr>
          </w:pPr>
          <w:r>
            <w:rPr>
              <w:rFonts w:hint="eastAsia" w:ascii="黑体" w:hAnsi="黑体" w:eastAsia="黑体"/>
              <w:b w:val="0"/>
              <w:color w:val="auto"/>
              <w:highlight w:val="none"/>
            </w:rPr>
            <w:fldChar w:fldCharType="begin"/>
          </w:r>
          <w:r>
            <w:rPr>
              <w:rFonts w:hint="eastAsia" w:ascii="黑体" w:hAnsi="黑体" w:eastAsia="黑体"/>
              <w:b w:val="0"/>
              <w:color w:val="auto"/>
              <w:highlight w:val="none"/>
            </w:rPr>
            <w:instrText xml:space="preserve">TOC \o "1-2" \h \u </w:instrText>
          </w:r>
          <w:r>
            <w:rPr>
              <w:rFonts w:hint="eastAsia" w:ascii="黑体" w:hAnsi="黑体" w:eastAsia="黑体"/>
              <w:b w:val="0"/>
              <w:color w:val="auto"/>
              <w:highlight w:val="none"/>
            </w:rPr>
            <w:fldChar w:fldCharType="separate"/>
          </w:r>
          <w:r>
            <w:rPr>
              <w:rFonts w:hint="eastAsia" w:ascii="黑体" w:hAnsi="黑体" w:eastAsia="黑体"/>
              <w:b/>
              <w:color w:val="auto"/>
              <w:highlight w:val="none"/>
            </w:rPr>
            <w:fldChar w:fldCharType="begin"/>
          </w:r>
          <w:r>
            <w:rPr>
              <w:rFonts w:hint="eastAsia" w:ascii="黑体" w:hAnsi="黑体" w:eastAsia="黑体"/>
              <w:b/>
              <w:highlight w:val="none"/>
            </w:rPr>
            <w:instrText xml:space="preserve"> HYPERLINK \l _Toc975 </w:instrText>
          </w:r>
          <w:r>
            <w:rPr>
              <w:rFonts w:hint="eastAsia" w:ascii="黑体" w:hAnsi="黑体" w:eastAsia="黑体"/>
              <w:b/>
              <w:highlight w:val="none"/>
            </w:rPr>
            <w:fldChar w:fldCharType="separate"/>
          </w:r>
          <w:r>
            <w:rPr>
              <w:rFonts w:hint="eastAsia" w:ascii="黑体" w:hAnsi="黑体" w:eastAsia="黑体"/>
              <w:b/>
              <w:highlight w:val="none"/>
            </w:rPr>
            <w:t xml:space="preserve">第一部分 </w:t>
          </w:r>
          <w:r>
            <w:rPr>
              <w:rFonts w:hint="eastAsia" w:ascii="黑体" w:hAnsi="黑体" w:eastAsia="黑体"/>
              <w:b/>
              <w:bCs w:val="0"/>
              <w:highlight w:val="none"/>
            </w:rPr>
            <w:t>部门概况</w:t>
          </w:r>
          <w:r>
            <w:rPr>
              <w:b/>
            </w:rPr>
            <w:tab/>
          </w:r>
          <w:r>
            <w:rPr>
              <w:b/>
            </w:rPr>
            <w:fldChar w:fldCharType="begin"/>
          </w:r>
          <w:r>
            <w:rPr>
              <w:b/>
            </w:rPr>
            <w:instrText xml:space="preserve"> PAGEREF _Toc975 \h </w:instrText>
          </w:r>
          <w:r>
            <w:rPr>
              <w:b/>
            </w:rPr>
            <w:fldChar w:fldCharType="separate"/>
          </w:r>
          <w:r>
            <w:rPr>
              <w:b/>
            </w:rPr>
            <w:t>1</w:t>
          </w:r>
          <w:r>
            <w:rPr>
              <w:b/>
            </w:rPr>
            <w:fldChar w:fldCharType="end"/>
          </w:r>
          <w:r>
            <w:rPr>
              <w:rFonts w:hint="eastAsia" w:ascii="黑体" w:hAnsi="黑体" w:eastAsia="黑体"/>
              <w:b/>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_Toc19559 </w:instrText>
          </w:r>
          <w:r>
            <w:rPr>
              <w:rFonts w:hint="eastAsia" w:ascii="黑体" w:hAnsi="黑体" w:eastAsia="黑体"/>
              <w:highlight w:val="none"/>
            </w:rPr>
            <w:fldChar w:fldCharType="separate"/>
          </w:r>
          <w:r>
            <w:rPr>
              <w:rFonts w:hint="eastAsia" w:ascii="仿宋" w:hAnsi="仿宋" w:eastAsia="仿宋"/>
              <w:bCs/>
              <w:szCs w:val="32"/>
            </w:rPr>
            <w:t xml:space="preserve">一、 </w:t>
          </w:r>
          <w:r>
            <w:rPr>
              <w:rFonts w:hint="eastAsia" w:ascii="黑体" w:hAnsi="黑体" w:eastAsia="黑体"/>
              <w:highlight w:val="none"/>
              <w:lang w:eastAsia="zh-CN"/>
            </w:rPr>
            <w:t>部门职责</w:t>
          </w:r>
          <w:r>
            <w:tab/>
          </w:r>
          <w:r>
            <w:fldChar w:fldCharType="begin"/>
          </w:r>
          <w:r>
            <w:instrText xml:space="preserve"> PAGEREF _Toc19559 \h </w:instrText>
          </w:r>
          <w:r>
            <w:fldChar w:fldCharType="separate"/>
          </w:r>
          <w:r>
            <w:t>1</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_Toc12536 </w:instrText>
          </w:r>
          <w:r>
            <w:rPr>
              <w:rFonts w:hint="eastAsia" w:ascii="黑体" w:hAnsi="黑体" w:eastAsia="黑体"/>
              <w:highlight w:val="none"/>
            </w:rP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_Toc12536 \h </w:instrText>
          </w:r>
          <w:r>
            <w:fldChar w:fldCharType="separate"/>
          </w:r>
          <w:r>
            <w:t>4</w:t>
          </w:r>
          <w:r>
            <w:fldChar w:fldCharType="end"/>
          </w:r>
          <w:r>
            <w:rPr>
              <w:rFonts w:hint="eastAsia" w:ascii="黑体" w:hAnsi="黑体" w:eastAsia="黑体"/>
              <w:color w:val="auto"/>
              <w:highlight w:val="none"/>
            </w:rPr>
            <w:fldChar w:fldCharType="end"/>
          </w:r>
        </w:p>
        <w:p>
          <w:pPr>
            <w:pStyle w:val="36"/>
            <w:tabs>
              <w:tab w:val="right" w:leader="dot" w:pos="8845"/>
            </w:tabs>
            <w:rPr>
              <w:b/>
            </w:rPr>
          </w:pPr>
          <w:r>
            <w:rPr>
              <w:rFonts w:hint="eastAsia" w:ascii="黑体" w:hAnsi="黑体" w:eastAsia="黑体"/>
              <w:b/>
              <w:color w:val="auto"/>
              <w:highlight w:val="none"/>
            </w:rPr>
            <w:fldChar w:fldCharType="begin"/>
          </w:r>
          <w:r>
            <w:rPr>
              <w:rFonts w:hint="eastAsia" w:ascii="黑体" w:hAnsi="黑体" w:eastAsia="黑体"/>
              <w:b/>
              <w:highlight w:val="none"/>
            </w:rPr>
            <w:instrText xml:space="preserve"> HYPERLINK \l _Toc14315 </w:instrText>
          </w:r>
          <w:r>
            <w:rPr>
              <w:rFonts w:hint="eastAsia" w:ascii="黑体" w:hAnsi="黑体" w:eastAsia="黑体"/>
              <w:b/>
              <w:highlight w:val="none"/>
            </w:rPr>
            <w:fldChar w:fldCharType="separate"/>
          </w:r>
          <w:r>
            <w:rPr>
              <w:rFonts w:hint="eastAsia" w:ascii="黑体" w:hAnsi="黑体" w:eastAsia="黑体"/>
              <w:b/>
              <w:bCs/>
            </w:rPr>
            <w:t xml:space="preserve">第二部分 </w:t>
          </w:r>
          <w:r>
            <w:rPr>
              <w:rFonts w:hint="eastAsia" w:ascii="黑体" w:hAnsi="黑体" w:eastAsia="黑体"/>
              <w:b/>
              <w:bCs/>
              <w:highlight w:val="none"/>
              <w:lang w:val="en-US" w:eastAsia="zh-CN"/>
            </w:rPr>
            <w:t>2022年度</w:t>
          </w:r>
          <w:r>
            <w:rPr>
              <w:rFonts w:hint="eastAsia" w:ascii="黑体" w:hAnsi="黑体" w:eastAsia="黑体"/>
              <w:b/>
              <w:bCs/>
              <w:highlight w:val="none"/>
            </w:rPr>
            <w:t>部门决算情况说明</w:t>
          </w:r>
          <w:r>
            <w:rPr>
              <w:b/>
            </w:rPr>
            <w:tab/>
          </w:r>
          <w:r>
            <w:rPr>
              <w:b/>
            </w:rPr>
            <w:fldChar w:fldCharType="begin"/>
          </w:r>
          <w:r>
            <w:rPr>
              <w:b/>
            </w:rPr>
            <w:instrText xml:space="preserve"> PAGEREF _Toc14315 \h </w:instrText>
          </w:r>
          <w:r>
            <w:rPr>
              <w:b/>
            </w:rPr>
            <w:fldChar w:fldCharType="separate"/>
          </w:r>
          <w:r>
            <w:rPr>
              <w:b/>
            </w:rPr>
            <w:t>5</w:t>
          </w:r>
          <w:r>
            <w:rPr>
              <w:b/>
            </w:rPr>
            <w:fldChar w:fldCharType="end"/>
          </w:r>
          <w:r>
            <w:rPr>
              <w:rFonts w:hint="eastAsia" w:ascii="黑体" w:hAnsi="黑体" w:eastAsia="黑体"/>
              <w:b/>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_Toc30221 </w:instrText>
          </w:r>
          <w:r>
            <w:rPr>
              <w:rFonts w:hint="eastAsia" w:ascii="黑体" w:hAnsi="黑体" w:eastAsia="黑体"/>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_Toc30221 \h </w:instrText>
          </w:r>
          <w:r>
            <w:fldChar w:fldCharType="separate"/>
          </w:r>
          <w:r>
            <w:t>5</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_Toc12266 </w:instrText>
          </w:r>
          <w:r>
            <w:rPr>
              <w:rFonts w:hint="eastAsia" w:ascii="黑体" w:hAnsi="黑体" w:eastAsia="黑体"/>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_Toc12266 \h </w:instrText>
          </w:r>
          <w:r>
            <w:fldChar w:fldCharType="separate"/>
          </w:r>
          <w:r>
            <w:t>5</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_Toc22410 </w:instrText>
          </w:r>
          <w:r>
            <w:rPr>
              <w:rFonts w:hint="eastAsia" w:ascii="黑体" w:hAnsi="黑体" w:eastAsia="黑体"/>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_Toc22410 \h </w:instrText>
          </w:r>
          <w:r>
            <w:fldChar w:fldCharType="separate"/>
          </w:r>
          <w:r>
            <w:t>6</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_Toc18839 </w:instrText>
          </w:r>
          <w:r>
            <w:rPr>
              <w:rFonts w:hint="eastAsia" w:ascii="黑体" w:hAnsi="黑体" w:eastAsia="黑体"/>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_Toc18839 \h </w:instrText>
          </w:r>
          <w:r>
            <w:fldChar w:fldCharType="separate"/>
          </w:r>
          <w:r>
            <w:t>6</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_Toc11445 </w:instrText>
          </w:r>
          <w:r>
            <w:rPr>
              <w:rFonts w:hint="eastAsia" w:ascii="黑体" w:hAnsi="黑体" w:eastAsia="黑体"/>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_Toc11445 \h </w:instrText>
          </w:r>
          <w:r>
            <w:fldChar w:fldCharType="separate"/>
          </w:r>
          <w:r>
            <w:t>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_Toc26955 </w:instrText>
          </w:r>
          <w:r>
            <w:rPr>
              <w:rFonts w:hint="eastAsia" w:ascii="黑体" w:hAnsi="黑体" w:eastAsia="黑体"/>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_Toc26955 \h </w:instrText>
          </w:r>
          <w:r>
            <w:fldChar w:fldCharType="separate"/>
          </w:r>
          <w:r>
            <w:t>11</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_Toc30887 </w:instrText>
          </w:r>
          <w:r>
            <w:rPr>
              <w:rFonts w:hint="eastAsia" w:ascii="黑体" w:hAnsi="黑体" w:eastAsia="黑体"/>
              <w:highlight w:val="none"/>
            </w:rP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_Toc30887 \h </w:instrText>
          </w:r>
          <w:r>
            <w:fldChar w:fldCharType="separate"/>
          </w:r>
          <w:r>
            <w:t>12</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_Toc22124 </w:instrText>
          </w:r>
          <w:r>
            <w:rPr>
              <w:rFonts w:hint="eastAsia" w:ascii="黑体" w:hAnsi="黑体" w:eastAsia="黑体"/>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_Toc22124 \h </w:instrText>
          </w:r>
          <w:r>
            <w:fldChar w:fldCharType="separate"/>
          </w:r>
          <w:r>
            <w:t>14</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_Toc18435 </w:instrText>
          </w:r>
          <w:r>
            <w:rPr>
              <w:rFonts w:hint="eastAsia" w:ascii="黑体" w:hAnsi="黑体" w:eastAsia="黑体"/>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_Toc18435 \h </w:instrText>
          </w:r>
          <w:r>
            <w:fldChar w:fldCharType="separate"/>
          </w:r>
          <w:r>
            <w:t>14</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_Toc1853 </w:instrText>
          </w:r>
          <w:r>
            <w:rPr>
              <w:rFonts w:hint="eastAsia" w:ascii="黑体" w:hAnsi="黑体" w:eastAsia="黑体"/>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_Toc1853 \h </w:instrText>
          </w:r>
          <w:r>
            <w:fldChar w:fldCharType="separate"/>
          </w:r>
          <w:r>
            <w:t>14</w:t>
          </w:r>
          <w:r>
            <w:fldChar w:fldCharType="end"/>
          </w:r>
          <w:r>
            <w:rPr>
              <w:rFonts w:hint="eastAsia" w:ascii="黑体" w:hAnsi="黑体" w:eastAsia="黑体"/>
              <w:color w:val="auto"/>
              <w:highlight w:val="none"/>
            </w:rPr>
            <w:fldChar w:fldCharType="end"/>
          </w:r>
        </w:p>
        <w:p>
          <w:pPr>
            <w:pStyle w:val="36"/>
            <w:tabs>
              <w:tab w:val="right" w:leader="dot" w:pos="8845"/>
            </w:tabs>
            <w:rPr>
              <w:b/>
            </w:rPr>
          </w:pPr>
          <w:r>
            <w:rPr>
              <w:rFonts w:hint="eastAsia" w:ascii="黑体" w:hAnsi="黑体" w:eastAsia="黑体"/>
              <w:b/>
              <w:color w:val="auto"/>
              <w:highlight w:val="none"/>
            </w:rPr>
            <w:fldChar w:fldCharType="begin"/>
          </w:r>
          <w:r>
            <w:rPr>
              <w:rFonts w:hint="eastAsia" w:ascii="黑体" w:hAnsi="黑体" w:eastAsia="黑体"/>
              <w:b/>
              <w:highlight w:val="none"/>
            </w:rPr>
            <w:instrText xml:space="preserve"> HYPERLINK \l _Toc12159 </w:instrText>
          </w:r>
          <w:r>
            <w:rPr>
              <w:rFonts w:hint="eastAsia" w:ascii="黑体" w:hAnsi="黑体" w:eastAsia="黑体"/>
              <w:b/>
              <w:highlight w:val="none"/>
            </w:rPr>
            <w:fldChar w:fldCharType="separate"/>
          </w:r>
          <w:r>
            <w:rPr>
              <w:rFonts w:hint="eastAsia" w:ascii="黑体" w:hAnsi="黑体" w:eastAsia="黑体"/>
              <w:b/>
            </w:rPr>
            <w:t xml:space="preserve">第三部分 </w:t>
          </w:r>
          <w:r>
            <w:rPr>
              <w:rFonts w:hint="eastAsia" w:ascii="黑体" w:hAnsi="黑体" w:eastAsia="黑体"/>
              <w:b/>
              <w:szCs w:val="44"/>
              <w:highlight w:val="none"/>
            </w:rPr>
            <w:t>名</w:t>
          </w:r>
          <w:r>
            <w:rPr>
              <w:rFonts w:hint="eastAsia" w:ascii="黑体" w:hAnsi="黑体" w:eastAsia="黑体"/>
              <w:b/>
              <w:highlight w:val="none"/>
            </w:rPr>
            <w:t>词解释</w:t>
          </w:r>
          <w:r>
            <w:rPr>
              <w:b/>
            </w:rPr>
            <w:tab/>
          </w:r>
          <w:r>
            <w:rPr>
              <w:b/>
            </w:rPr>
            <w:fldChar w:fldCharType="begin"/>
          </w:r>
          <w:r>
            <w:rPr>
              <w:b/>
            </w:rPr>
            <w:instrText xml:space="preserve"> PAGEREF _Toc12159 \h </w:instrText>
          </w:r>
          <w:r>
            <w:rPr>
              <w:b/>
            </w:rPr>
            <w:fldChar w:fldCharType="separate"/>
          </w:r>
          <w:r>
            <w:rPr>
              <w:b/>
            </w:rPr>
            <w:t>17</w:t>
          </w:r>
          <w:r>
            <w:rPr>
              <w:b/>
            </w:rPr>
            <w:fldChar w:fldCharType="end"/>
          </w:r>
          <w:r>
            <w:rPr>
              <w:rFonts w:hint="eastAsia" w:ascii="黑体" w:hAnsi="黑体" w:eastAsia="黑体"/>
              <w:b/>
              <w:color w:val="auto"/>
              <w:highlight w:val="none"/>
            </w:rPr>
            <w:fldChar w:fldCharType="end"/>
          </w:r>
        </w:p>
        <w:p>
          <w:pPr>
            <w:pStyle w:val="36"/>
            <w:tabs>
              <w:tab w:val="right" w:leader="dot" w:pos="8845"/>
            </w:tabs>
            <w:rPr>
              <w:b/>
            </w:rPr>
          </w:pPr>
          <w:r>
            <w:rPr>
              <w:rFonts w:hint="eastAsia" w:ascii="黑体" w:hAnsi="黑体" w:eastAsia="黑体"/>
              <w:b/>
              <w:color w:val="auto"/>
              <w:highlight w:val="none"/>
            </w:rPr>
            <w:fldChar w:fldCharType="begin"/>
          </w:r>
          <w:r>
            <w:rPr>
              <w:rFonts w:hint="eastAsia" w:ascii="黑体" w:hAnsi="黑体" w:eastAsia="黑体"/>
              <w:b/>
              <w:highlight w:val="none"/>
            </w:rPr>
            <w:instrText xml:space="preserve"> HYPERLINK \l _Toc2214 </w:instrText>
          </w:r>
          <w:r>
            <w:rPr>
              <w:rFonts w:hint="eastAsia" w:ascii="黑体" w:hAnsi="黑体" w:eastAsia="黑体"/>
              <w:b/>
              <w:highlight w:val="none"/>
            </w:rPr>
            <w:fldChar w:fldCharType="separate"/>
          </w:r>
          <w:r>
            <w:rPr>
              <w:rFonts w:hint="eastAsia" w:ascii="黑体" w:hAnsi="黑体" w:eastAsia="黑体"/>
              <w:b/>
              <w:szCs w:val="44"/>
              <w:highlight w:val="none"/>
            </w:rPr>
            <w:t>第</w:t>
          </w:r>
          <w:r>
            <w:rPr>
              <w:rFonts w:hint="eastAsia" w:ascii="黑体" w:hAnsi="黑体" w:eastAsia="黑体"/>
              <w:b/>
              <w:highlight w:val="none"/>
            </w:rPr>
            <w:t>四部分 附件</w:t>
          </w:r>
          <w:r>
            <w:rPr>
              <w:b/>
            </w:rPr>
            <w:tab/>
          </w:r>
          <w:r>
            <w:rPr>
              <w:b/>
            </w:rPr>
            <w:fldChar w:fldCharType="begin"/>
          </w:r>
          <w:r>
            <w:rPr>
              <w:b/>
            </w:rPr>
            <w:instrText xml:space="preserve"> PAGEREF _Toc2214 \h </w:instrText>
          </w:r>
          <w:r>
            <w:rPr>
              <w:b/>
            </w:rPr>
            <w:fldChar w:fldCharType="separate"/>
          </w:r>
          <w:r>
            <w:rPr>
              <w:b/>
            </w:rPr>
            <w:t>22</w:t>
          </w:r>
          <w:r>
            <w:rPr>
              <w:b/>
            </w:rPr>
            <w:fldChar w:fldCharType="end"/>
          </w:r>
          <w:r>
            <w:rPr>
              <w:rFonts w:hint="eastAsia" w:ascii="黑体" w:hAnsi="黑体" w:eastAsia="黑体"/>
              <w:b/>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_Toc3747 </w:instrText>
          </w:r>
          <w:r>
            <w:rPr>
              <w:rFonts w:hint="eastAsia" w:ascii="黑体" w:hAnsi="黑体" w:eastAsia="黑体"/>
              <w:highlight w:val="none"/>
            </w:rPr>
            <w:fldChar w:fldCharType="separate"/>
          </w:r>
          <w:r>
            <w:rPr>
              <w:rFonts w:hint="eastAsia" w:ascii="黑体" w:hAnsi="黑体" w:eastAsia="黑体" w:cs="黑体"/>
              <w:szCs w:val="32"/>
              <w:highlight w:val="none"/>
            </w:rPr>
            <w:t>附件</w:t>
          </w:r>
          <w:r>
            <w:tab/>
          </w:r>
          <w:r>
            <w:fldChar w:fldCharType="begin"/>
          </w:r>
          <w:r>
            <w:instrText xml:space="preserve"> PAGEREF _Toc3747 \h </w:instrText>
          </w:r>
          <w:r>
            <w:fldChar w:fldCharType="separate"/>
          </w:r>
          <w:r>
            <w:t>22</w:t>
          </w:r>
          <w:r>
            <w:fldChar w:fldCharType="end"/>
          </w:r>
          <w:r>
            <w:rPr>
              <w:rFonts w:hint="eastAsia" w:ascii="黑体" w:hAnsi="黑体" w:eastAsia="黑体"/>
              <w:color w:val="auto"/>
              <w:highlight w:val="none"/>
            </w:rPr>
            <w:fldChar w:fldCharType="end"/>
          </w:r>
        </w:p>
        <w:p>
          <w:pPr>
            <w:pStyle w:val="36"/>
            <w:tabs>
              <w:tab w:val="right" w:leader="dot" w:pos="8845"/>
            </w:tabs>
            <w:rPr>
              <w:b/>
            </w:rPr>
          </w:pPr>
          <w:r>
            <w:rPr>
              <w:rFonts w:hint="eastAsia" w:ascii="黑体" w:hAnsi="黑体" w:eastAsia="黑体"/>
              <w:b/>
              <w:color w:val="auto"/>
              <w:highlight w:val="none"/>
            </w:rPr>
            <w:fldChar w:fldCharType="begin"/>
          </w:r>
          <w:r>
            <w:rPr>
              <w:rFonts w:hint="eastAsia" w:ascii="黑体" w:hAnsi="黑体" w:eastAsia="黑体"/>
              <w:b/>
              <w:highlight w:val="none"/>
            </w:rPr>
            <w:instrText xml:space="preserve"> HYPERLINK \l _Toc6944 </w:instrText>
          </w:r>
          <w:r>
            <w:rPr>
              <w:rFonts w:hint="eastAsia" w:ascii="黑体" w:hAnsi="黑体" w:eastAsia="黑体"/>
              <w:b/>
              <w:highlight w:val="none"/>
            </w:rPr>
            <w:fldChar w:fldCharType="separate"/>
          </w:r>
          <w:r>
            <w:rPr>
              <w:rFonts w:hint="eastAsia" w:ascii="黑体" w:hAnsi="黑体" w:eastAsia="黑体"/>
              <w:b/>
              <w:szCs w:val="44"/>
              <w:highlight w:val="none"/>
            </w:rPr>
            <w:t>第</w:t>
          </w:r>
          <w:r>
            <w:rPr>
              <w:rFonts w:hint="eastAsia" w:ascii="黑体" w:hAnsi="黑体" w:eastAsia="黑体"/>
              <w:b/>
              <w:highlight w:val="none"/>
            </w:rPr>
            <w:t>五部分 附表</w:t>
          </w:r>
          <w:r>
            <w:rPr>
              <w:b/>
            </w:rPr>
            <w:tab/>
          </w:r>
          <w:r>
            <w:rPr>
              <w:b/>
            </w:rPr>
            <w:fldChar w:fldCharType="begin"/>
          </w:r>
          <w:r>
            <w:rPr>
              <w:b/>
            </w:rPr>
            <w:instrText xml:space="preserve"> PAGEREF _Toc6944 \h </w:instrText>
          </w:r>
          <w:r>
            <w:rPr>
              <w:b/>
            </w:rPr>
            <w:fldChar w:fldCharType="separate"/>
          </w:r>
          <w:r>
            <w:rPr>
              <w:b/>
            </w:rPr>
            <w:t>77</w:t>
          </w:r>
          <w:r>
            <w:rPr>
              <w:b/>
            </w:rPr>
            <w:fldChar w:fldCharType="end"/>
          </w:r>
          <w:r>
            <w:rPr>
              <w:rFonts w:hint="eastAsia" w:ascii="黑体" w:hAnsi="黑体" w:eastAsia="黑体"/>
              <w:b/>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_Toc21412 </w:instrText>
          </w:r>
          <w:r>
            <w:rPr>
              <w:rFonts w:hint="eastAsia" w:ascii="黑体" w:hAnsi="黑体" w:eastAsia="黑体"/>
              <w:highlight w:val="none"/>
            </w:rPr>
            <w:fldChar w:fldCharType="separate"/>
          </w:r>
          <w:r>
            <w:rPr>
              <w:rFonts w:hint="eastAsia" w:ascii="黑体" w:hAnsi="黑体" w:eastAsia="黑体" w:cs="黑体"/>
              <w:bCs w:val="0"/>
              <w:highlight w:val="none"/>
              <w:lang w:val="en-US" w:eastAsia="zh-CN"/>
            </w:rPr>
            <w:t>一、收入支出决算总表</w:t>
          </w:r>
          <w:r>
            <w:tab/>
          </w:r>
          <w:r>
            <w:fldChar w:fldCharType="begin"/>
          </w:r>
          <w:r>
            <w:instrText xml:space="preserve"> PAGEREF _Toc21412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_Toc9579 </w:instrText>
          </w:r>
          <w:r>
            <w:rPr>
              <w:rFonts w:hint="eastAsia" w:ascii="黑体" w:hAnsi="黑体" w:eastAsia="黑体"/>
              <w:highlight w:val="none"/>
            </w:rPr>
            <w:fldChar w:fldCharType="separate"/>
          </w:r>
          <w:r>
            <w:rPr>
              <w:rFonts w:hint="eastAsia" w:ascii="黑体" w:hAnsi="黑体" w:eastAsia="黑体" w:cs="黑体"/>
              <w:bCs w:val="0"/>
              <w:highlight w:val="none"/>
            </w:rPr>
            <w:t>二、收入决算表</w:t>
          </w:r>
          <w:r>
            <w:tab/>
          </w:r>
          <w:r>
            <w:fldChar w:fldCharType="begin"/>
          </w:r>
          <w:r>
            <w:instrText xml:space="preserve"> PAGEREF _Toc9579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_Toc26320 </w:instrText>
          </w:r>
          <w:r>
            <w:rPr>
              <w:rFonts w:hint="eastAsia" w:ascii="黑体" w:hAnsi="黑体" w:eastAsia="黑体"/>
              <w:highlight w:val="none"/>
            </w:rPr>
            <w:fldChar w:fldCharType="separate"/>
          </w:r>
          <w:r>
            <w:rPr>
              <w:rFonts w:hint="eastAsia" w:ascii="黑体" w:hAnsi="黑体" w:eastAsia="黑体" w:cs="黑体"/>
              <w:bCs w:val="0"/>
              <w:highlight w:val="none"/>
            </w:rPr>
            <w:t>三、支出决算表</w:t>
          </w:r>
          <w:r>
            <w:tab/>
          </w:r>
          <w:r>
            <w:fldChar w:fldCharType="begin"/>
          </w:r>
          <w:r>
            <w:instrText xml:space="preserve"> PAGEREF _Toc26320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_Toc17510 </w:instrText>
          </w:r>
          <w:r>
            <w:rPr>
              <w:rFonts w:hint="eastAsia" w:ascii="黑体" w:hAnsi="黑体" w:eastAsia="黑体"/>
              <w:highlight w:val="none"/>
            </w:rPr>
            <w:fldChar w:fldCharType="separate"/>
          </w:r>
          <w:r>
            <w:rPr>
              <w:rFonts w:hint="eastAsia" w:ascii="黑体" w:hAnsi="黑体" w:eastAsia="黑体" w:cs="黑体"/>
              <w:bCs w:val="0"/>
              <w:highlight w:val="none"/>
            </w:rPr>
            <w:t>四、</w:t>
          </w:r>
          <w:r>
            <w:rPr>
              <w:rFonts w:hint="eastAsia" w:ascii="黑体" w:hAnsi="黑体" w:eastAsia="黑体" w:cs="黑体"/>
              <w:highlight w:val="none"/>
            </w:rPr>
            <w:t>财</w:t>
          </w:r>
          <w:r>
            <w:rPr>
              <w:rFonts w:hint="eastAsia" w:ascii="黑体" w:hAnsi="黑体" w:eastAsia="黑体" w:cs="黑体"/>
              <w:bCs w:val="0"/>
              <w:highlight w:val="none"/>
            </w:rPr>
            <w:t>政拨款收入支出决算总表</w:t>
          </w:r>
          <w:r>
            <w:tab/>
          </w:r>
          <w:r>
            <w:fldChar w:fldCharType="begin"/>
          </w:r>
          <w:r>
            <w:instrText xml:space="preserve"> PAGEREF _Toc17510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_Toc13443 </w:instrText>
          </w:r>
          <w:r>
            <w:rPr>
              <w:rFonts w:hint="eastAsia" w:ascii="黑体" w:hAnsi="黑体" w:eastAsia="黑体"/>
              <w:highlight w:val="none"/>
            </w:rPr>
            <w:fldChar w:fldCharType="separate"/>
          </w:r>
          <w:r>
            <w:rPr>
              <w:rFonts w:hint="eastAsia" w:ascii="黑体" w:hAnsi="黑体" w:eastAsia="黑体" w:cs="黑体"/>
              <w:bCs w:val="0"/>
              <w:highlight w:val="none"/>
            </w:rPr>
            <w:t>五、</w:t>
          </w:r>
          <w:r>
            <w:rPr>
              <w:rFonts w:hint="eastAsia" w:ascii="黑体" w:hAnsi="黑体" w:eastAsia="黑体" w:cs="黑体"/>
              <w:highlight w:val="none"/>
            </w:rPr>
            <w:t>财</w:t>
          </w:r>
          <w:r>
            <w:rPr>
              <w:rFonts w:hint="eastAsia" w:ascii="黑体" w:hAnsi="黑体" w:eastAsia="黑体" w:cs="黑体"/>
              <w:bCs w:val="0"/>
              <w:highlight w:val="none"/>
            </w:rPr>
            <w:t>政拨款支出决算明细表</w:t>
          </w:r>
          <w:r>
            <w:tab/>
          </w:r>
          <w:r>
            <w:fldChar w:fldCharType="begin"/>
          </w:r>
          <w:r>
            <w:instrText xml:space="preserve"> PAGEREF _Toc13443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_Toc16129 </w:instrText>
          </w:r>
          <w:r>
            <w:rPr>
              <w:rFonts w:hint="eastAsia" w:ascii="黑体" w:hAnsi="黑体" w:eastAsia="黑体"/>
              <w:highlight w:val="none"/>
            </w:rPr>
            <w:fldChar w:fldCharType="separate"/>
          </w:r>
          <w:r>
            <w:rPr>
              <w:rFonts w:hint="eastAsia" w:ascii="黑体" w:hAnsi="黑体" w:eastAsia="黑体" w:cs="黑体"/>
              <w:bCs w:val="0"/>
              <w:highlight w:val="none"/>
            </w:rPr>
            <w:t>六、</w:t>
          </w:r>
          <w:r>
            <w:rPr>
              <w:rFonts w:hint="eastAsia" w:ascii="黑体" w:hAnsi="黑体" w:eastAsia="黑体" w:cs="黑体"/>
              <w:highlight w:val="none"/>
            </w:rPr>
            <w:t>一</w:t>
          </w:r>
          <w:r>
            <w:rPr>
              <w:rFonts w:hint="eastAsia" w:ascii="黑体" w:hAnsi="黑体" w:eastAsia="黑体" w:cs="黑体"/>
              <w:bCs w:val="0"/>
              <w:highlight w:val="none"/>
            </w:rPr>
            <w:t>般公共预算财政拨款支出决算表</w:t>
          </w:r>
          <w:r>
            <w:tab/>
          </w:r>
          <w:r>
            <w:fldChar w:fldCharType="begin"/>
          </w:r>
          <w:r>
            <w:instrText xml:space="preserve"> PAGEREF _Toc16129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_Toc28344 </w:instrText>
          </w:r>
          <w:r>
            <w:rPr>
              <w:rFonts w:hint="eastAsia" w:ascii="黑体" w:hAnsi="黑体" w:eastAsia="黑体"/>
              <w:highlight w:val="none"/>
            </w:rPr>
            <w:fldChar w:fldCharType="separate"/>
          </w:r>
          <w:r>
            <w:rPr>
              <w:rFonts w:hint="eastAsia" w:ascii="黑体" w:hAnsi="黑体" w:eastAsia="黑体" w:cs="黑体"/>
              <w:bCs w:val="0"/>
              <w:highlight w:val="none"/>
            </w:rPr>
            <w:t>七、</w:t>
          </w:r>
          <w:r>
            <w:rPr>
              <w:rFonts w:hint="eastAsia" w:ascii="黑体" w:hAnsi="黑体" w:eastAsia="黑体" w:cs="黑体"/>
              <w:highlight w:val="none"/>
            </w:rPr>
            <w:t>一</w:t>
          </w:r>
          <w:r>
            <w:rPr>
              <w:rFonts w:hint="eastAsia" w:ascii="黑体" w:hAnsi="黑体" w:eastAsia="黑体" w:cs="黑体"/>
              <w:bCs w:val="0"/>
              <w:highlight w:val="none"/>
            </w:rPr>
            <w:t>般公共预算财政拨款支出决算明细表</w:t>
          </w:r>
          <w:r>
            <w:tab/>
          </w:r>
          <w:r>
            <w:fldChar w:fldCharType="begin"/>
          </w:r>
          <w:r>
            <w:instrText xml:space="preserve"> PAGEREF _Toc28344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_Toc4841 </w:instrText>
          </w:r>
          <w:r>
            <w:rPr>
              <w:rFonts w:hint="eastAsia" w:ascii="黑体" w:hAnsi="黑体" w:eastAsia="黑体"/>
              <w:highlight w:val="none"/>
            </w:rPr>
            <w:fldChar w:fldCharType="separate"/>
          </w:r>
          <w:r>
            <w:rPr>
              <w:rFonts w:hint="eastAsia" w:ascii="黑体" w:hAnsi="黑体" w:eastAsia="黑体" w:cs="黑体"/>
              <w:bCs w:val="0"/>
              <w:highlight w:val="none"/>
            </w:rPr>
            <w:t>八、</w:t>
          </w:r>
          <w:r>
            <w:rPr>
              <w:rFonts w:hint="eastAsia" w:ascii="黑体" w:hAnsi="黑体" w:eastAsia="黑体" w:cs="黑体"/>
              <w:highlight w:val="none"/>
            </w:rPr>
            <w:t>一</w:t>
          </w:r>
          <w:r>
            <w:rPr>
              <w:rFonts w:hint="eastAsia" w:ascii="黑体" w:hAnsi="黑体" w:eastAsia="黑体" w:cs="黑体"/>
              <w:bCs w:val="0"/>
              <w:highlight w:val="none"/>
            </w:rPr>
            <w:t>般公共预算财政拨款基本支出决算表</w:t>
          </w:r>
          <w:r>
            <w:tab/>
          </w:r>
          <w:r>
            <w:fldChar w:fldCharType="begin"/>
          </w:r>
          <w:r>
            <w:instrText xml:space="preserve"> PAGEREF _Toc4841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_Toc27014 </w:instrText>
          </w:r>
          <w:r>
            <w:rPr>
              <w:rFonts w:hint="eastAsia" w:ascii="黑体" w:hAnsi="黑体" w:eastAsia="黑体"/>
              <w:highlight w:val="none"/>
            </w:rPr>
            <w:fldChar w:fldCharType="separate"/>
          </w:r>
          <w:r>
            <w:rPr>
              <w:rFonts w:hint="eastAsia" w:ascii="黑体" w:hAnsi="黑体" w:eastAsia="黑体" w:cs="黑体"/>
              <w:bCs w:val="0"/>
              <w:highlight w:val="none"/>
            </w:rPr>
            <w:t>九、</w:t>
          </w:r>
          <w:r>
            <w:rPr>
              <w:rFonts w:hint="eastAsia" w:ascii="黑体" w:hAnsi="黑体" w:eastAsia="黑体" w:cs="黑体"/>
              <w:highlight w:val="none"/>
            </w:rPr>
            <w:t>一</w:t>
          </w:r>
          <w:r>
            <w:rPr>
              <w:rFonts w:hint="eastAsia" w:ascii="黑体" w:hAnsi="黑体" w:eastAsia="黑体" w:cs="黑体"/>
              <w:bCs w:val="0"/>
              <w:highlight w:val="none"/>
            </w:rPr>
            <w:t>般公共预算财政拨款项目支出决算表</w:t>
          </w:r>
          <w:r>
            <w:tab/>
          </w:r>
          <w:r>
            <w:fldChar w:fldCharType="begin"/>
          </w:r>
          <w:r>
            <w:instrText xml:space="preserve"> PAGEREF _Toc27014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_Toc17554 </w:instrText>
          </w:r>
          <w:r>
            <w:rPr>
              <w:rFonts w:hint="eastAsia" w:ascii="黑体" w:hAnsi="黑体" w:eastAsia="黑体"/>
              <w:highlight w:val="none"/>
            </w:rPr>
            <w:fldChar w:fldCharType="separate"/>
          </w:r>
          <w:r>
            <w:rPr>
              <w:rFonts w:hint="eastAsia" w:ascii="黑体" w:hAnsi="黑体" w:eastAsia="黑体" w:cs="黑体"/>
              <w:bCs w:val="0"/>
              <w:highlight w:val="none"/>
            </w:rPr>
            <w:t>十、</w:t>
          </w:r>
          <w:r>
            <w:rPr>
              <w:rFonts w:hint="eastAsia" w:ascii="黑体" w:hAnsi="黑体" w:eastAsia="黑体" w:cs="黑体"/>
              <w:highlight w:val="none"/>
            </w:rPr>
            <w:t>政</w:t>
          </w:r>
          <w:r>
            <w:rPr>
              <w:rFonts w:hint="eastAsia" w:ascii="黑体" w:hAnsi="黑体" w:eastAsia="黑体" w:cs="黑体"/>
              <w:bCs w:val="0"/>
              <w:highlight w:val="none"/>
            </w:rPr>
            <w:t>府性基金预算财政拨款收入支出决算表</w:t>
          </w:r>
          <w:r>
            <w:tab/>
          </w:r>
          <w:r>
            <w:fldChar w:fldCharType="begin"/>
          </w:r>
          <w:r>
            <w:instrText xml:space="preserve"> PAGEREF _Toc17554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_Toc23928 </w:instrText>
          </w:r>
          <w:r>
            <w:rPr>
              <w:rFonts w:hint="eastAsia" w:ascii="黑体" w:hAnsi="黑体" w:eastAsia="黑体"/>
              <w:highlight w:val="none"/>
            </w:rPr>
            <w:fldChar w:fldCharType="separate"/>
          </w:r>
          <w:r>
            <w:rPr>
              <w:rFonts w:hint="eastAsia" w:ascii="黑体" w:hAnsi="黑体" w:eastAsia="黑体" w:cs="黑体"/>
              <w:bCs w:val="0"/>
              <w:highlight w:val="none"/>
            </w:rPr>
            <w:t>十一、</w:t>
          </w:r>
          <w:r>
            <w:rPr>
              <w:rFonts w:hint="eastAsia" w:ascii="黑体" w:hAnsi="黑体" w:eastAsia="黑体" w:cs="黑体"/>
              <w:highlight w:val="none"/>
            </w:rPr>
            <w:t>国</w:t>
          </w:r>
          <w:r>
            <w:rPr>
              <w:rFonts w:hint="eastAsia" w:ascii="黑体" w:hAnsi="黑体" w:eastAsia="黑体" w:cs="黑体"/>
              <w:bCs w:val="0"/>
              <w:highlight w:val="none"/>
            </w:rPr>
            <w:t>有资本经营预算</w:t>
          </w:r>
          <w:r>
            <w:rPr>
              <w:rFonts w:hint="eastAsia" w:ascii="黑体" w:hAnsi="黑体" w:eastAsia="黑体" w:cs="黑体"/>
              <w:bCs w:val="0"/>
              <w:highlight w:val="none"/>
              <w:lang w:eastAsia="zh-CN"/>
            </w:rPr>
            <w:t>财政拨款收入</w:t>
          </w:r>
          <w:r>
            <w:rPr>
              <w:rFonts w:hint="eastAsia" w:ascii="黑体" w:hAnsi="黑体" w:eastAsia="黑体" w:cs="黑体"/>
              <w:bCs w:val="0"/>
              <w:highlight w:val="none"/>
            </w:rPr>
            <w:t>支出决算表</w:t>
          </w:r>
          <w:r>
            <w:tab/>
          </w:r>
          <w:r>
            <w:fldChar w:fldCharType="begin"/>
          </w:r>
          <w:r>
            <w:instrText xml:space="preserve"> PAGEREF _Toc23928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_Toc152 </w:instrText>
          </w:r>
          <w:r>
            <w:rPr>
              <w:rFonts w:hint="eastAsia" w:ascii="黑体" w:hAnsi="黑体" w:eastAsia="黑体"/>
              <w:highlight w:val="none"/>
            </w:rPr>
            <w:fldChar w:fldCharType="separate"/>
          </w:r>
          <w:r>
            <w:rPr>
              <w:rFonts w:hint="eastAsia" w:ascii="黑体" w:hAnsi="黑体" w:eastAsia="黑体" w:cs="黑体"/>
              <w:bCs w:val="0"/>
              <w:highlight w:val="none"/>
            </w:rPr>
            <w:t>十二、</w:t>
          </w:r>
          <w:r>
            <w:rPr>
              <w:rFonts w:hint="eastAsia" w:ascii="黑体" w:hAnsi="黑体" w:eastAsia="黑体" w:cs="黑体"/>
              <w:bCs w:val="0"/>
              <w:highlight w:val="none"/>
              <w:lang w:eastAsia="zh-CN"/>
            </w:rPr>
            <w:t>国有资本经营预算财政拨款支出决算表</w:t>
          </w:r>
          <w:r>
            <w:tab/>
          </w:r>
          <w:r>
            <w:fldChar w:fldCharType="begin"/>
          </w:r>
          <w:r>
            <w:instrText xml:space="preserve"> PAGEREF _Toc152 \h </w:instrText>
          </w:r>
          <w:r>
            <w:fldChar w:fldCharType="separate"/>
          </w:r>
          <w:r>
            <w:t>77</w:t>
          </w:r>
          <w:r>
            <w:fldChar w:fldCharType="end"/>
          </w:r>
          <w:r>
            <w:rPr>
              <w:rFonts w:hint="eastAsia" w:ascii="黑体" w:hAnsi="黑体" w:eastAsia="黑体"/>
              <w:color w:val="auto"/>
              <w:highlight w:val="none"/>
            </w:rPr>
            <w:fldChar w:fldCharType="end"/>
          </w:r>
        </w:p>
        <w:p>
          <w:pPr>
            <w:pStyle w:val="37"/>
            <w:tabs>
              <w:tab w:val="right" w:leader="dot" w:pos="8845"/>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_Toc18932 </w:instrText>
          </w:r>
          <w:r>
            <w:rPr>
              <w:rFonts w:hint="eastAsia" w:ascii="黑体" w:hAnsi="黑体" w:eastAsia="黑体"/>
              <w:highlight w:val="none"/>
            </w:rPr>
            <w:fldChar w:fldCharType="separate"/>
          </w:r>
          <w:r>
            <w:rPr>
              <w:rFonts w:hint="eastAsia" w:ascii="黑体" w:hAnsi="黑体" w:eastAsia="黑体" w:cs="黑体"/>
              <w:bCs w:val="0"/>
              <w:highlight w:val="none"/>
            </w:rPr>
            <w:t>十三、</w:t>
          </w:r>
          <w:r>
            <w:rPr>
              <w:rFonts w:hint="eastAsia" w:ascii="黑体" w:hAnsi="黑体" w:eastAsia="黑体" w:cs="黑体"/>
              <w:bCs w:val="0"/>
              <w:highlight w:val="none"/>
              <w:lang w:eastAsia="zh-CN"/>
            </w:rPr>
            <w:t>财政拨款“三公”经费支出决算表</w:t>
          </w:r>
          <w:r>
            <w:tab/>
          </w:r>
          <w:r>
            <w:fldChar w:fldCharType="begin"/>
          </w:r>
          <w:r>
            <w:instrText xml:space="preserve"> PAGEREF _Toc18932 \h </w:instrText>
          </w:r>
          <w:r>
            <w:fldChar w:fldCharType="separate"/>
          </w:r>
          <w:r>
            <w:t>77</w:t>
          </w:r>
          <w:r>
            <w:fldChar w:fldCharType="end"/>
          </w:r>
          <w:r>
            <w:rPr>
              <w:rFonts w:hint="eastAsia" w:ascii="黑体" w:hAnsi="黑体" w:eastAsia="黑体"/>
              <w:color w:val="auto"/>
              <w:highlight w:val="none"/>
            </w:rPr>
            <w:fldChar w:fldCharType="end"/>
          </w:r>
        </w:p>
        <w:p>
          <w:pPr>
            <w:pStyle w:val="3"/>
            <w:jc w:val="center"/>
            <w:outlineLvl w:val="9"/>
            <w:rPr>
              <w:rFonts w:hint="eastAsia" w:ascii="黑体" w:hAnsi="黑体" w:eastAsia="黑体"/>
              <w:b w:val="0"/>
              <w:color w:val="auto"/>
              <w:highlight w:val="none"/>
            </w:rPr>
            <w:sectPr>
              <w:footerReference r:id="rId3" w:type="default"/>
              <w:pgSz w:w="11906" w:h="16838"/>
              <w:pgMar w:top="2098" w:right="1474" w:bottom="1984" w:left="1587" w:header="851" w:footer="1559" w:gutter="0"/>
              <w:pgNumType w:fmt="decimal" w:start="1"/>
              <w:cols w:space="425" w:num="1"/>
              <w:docGrid w:type="lines" w:linePitch="312" w:charSpace="0"/>
            </w:sectPr>
          </w:pPr>
          <w:r>
            <w:rPr>
              <w:rFonts w:hint="eastAsia" w:ascii="黑体" w:hAnsi="黑体" w:eastAsia="黑体"/>
              <w:b/>
              <w:color w:val="auto"/>
              <w:highlight w:val="none"/>
            </w:rPr>
            <w:fldChar w:fldCharType="end"/>
          </w:r>
        </w:p>
      </w:sdtContent>
    </w:sdt>
    <w:p>
      <w:pPr>
        <w:pStyle w:val="3"/>
        <w:jc w:val="center"/>
        <w:rPr>
          <w:rFonts w:ascii="黑体" w:eastAsia="黑体"/>
          <w:color w:val="auto"/>
          <w:sz w:val="32"/>
          <w:szCs w:val="32"/>
          <w:highlight w:val="none"/>
        </w:rPr>
      </w:pPr>
      <w:bookmarkStart w:id="20" w:name="_Toc975"/>
      <w:r>
        <w:rPr>
          <w:rFonts w:hint="eastAsia" w:ascii="黑体" w:hAnsi="黑体" w:eastAsia="黑体"/>
          <w:b w:val="0"/>
          <w:color w:val="auto"/>
          <w:highlight w:val="none"/>
        </w:rPr>
        <w:t xml:space="preserve">第一部分 </w:t>
      </w:r>
      <w:r>
        <w:rPr>
          <w:rStyle w:val="20"/>
          <w:rFonts w:hint="eastAsia" w:ascii="黑体" w:hAnsi="黑体" w:eastAsia="黑体"/>
          <w:b w:val="0"/>
          <w:bCs w:val="0"/>
          <w:color w:val="auto"/>
          <w:highlight w:val="none"/>
        </w:rPr>
        <w:t>部门概况</w:t>
      </w:r>
      <w:bookmarkEnd w:id="20"/>
    </w:p>
    <w:p>
      <w:pPr>
        <w:pStyle w:val="4"/>
        <w:numPr>
          <w:ilvl w:val="0"/>
          <w:numId w:val="1"/>
        </w:numPr>
        <w:rPr>
          <w:rFonts w:ascii="仿宋" w:hAnsi="仿宋" w:eastAsia="仿宋"/>
          <w:bCs/>
          <w:sz w:val="32"/>
          <w:szCs w:val="32"/>
        </w:rPr>
      </w:pPr>
      <w:bookmarkStart w:id="21" w:name="_Toc21477"/>
      <w:bookmarkStart w:id="22" w:name="_Toc19559"/>
      <w:r>
        <w:rPr>
          <w:rFonts w:hint="eastAsia" w:ascii="黑体" w:hAnsi="黑体" w:eastAsia="黑体"/>
          <w:b w:val="0"/>
          <w:color w:val="auto"/>
          <w:highlight w:val="none"/>
          <w:lang w:eastAsia="zh-CN"/>
        </w:rPr>
        <w:t>部门职责</w:t>
      </w:r>
      <w:bookmarkEnd w:id="21"/>
      <w:bookmarkEnd w:id="22"/>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一</w:t>
      </w:r>
      <w:r>
        <w:rPr>
          <w:rFonts w:hint="eastAsia" w:ascii="仿宋" w:hAnsi="仿宋" w:eastAsia="仿宋"/>
          <w:bCs/>
          <w:sz w:val="32"/>
          <w:szCs w:val="32"/>
          <w:lang w:eastAsia="zh-CN"/>
        </w:rPr>
        <w:t>）</w:t>
      </w:r>
      <w:r>
        <w:rPr>
          <w:rFonts w:hint="eastAsia" w:ascii="仿宋" w:hAnsi="仿宋" w:eastAsia="仿宋"/>
          <w:bCs/>
          <w:sz w:val="32"/>
          <w:szCs w:val="32"/>
        </w:rPr>
        <w:t>拟订全市人力资源和社会保障事业发展规划、政策并组织实施和监督检查。起草地方性法规、规章草案。</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二</w:t>
      </w:r>
      <w:r>
        <w:rPr>
          <w:rFonts w:hint="eastAsia" w:ascii="仿宋" w:hAnsi="仿宋" w:eastAsia="仿宋"/>
          <w:bCs/>
          <w:sz w:val="32"/>
          <w:szCs w:val="32"/>
          <w:lang w:eastAsia="zh-CN"/>
        </w:rPr>
        <w:t>）</w:t>
      </w:r>
      <w:r>
        <w:rPr>
          <w:rFonts w:hint="eastAsia" w:ascii="仿宋" w:hAnsi="仿宋" w:eastAsia="仿宋"/>
          <w:bCs/>
          <w:sz w:val="32"/>
          <w:szCs w:val="32"/>
        </w:rPr>
        <w:t>拟订全市人力资源市场发展规划和人力资源流动政策并组织实施，建立全市统一规范的人力资源市场，促进人力资源合理流动、有效配置。</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三</w:t>
      </w:r>
      <w:r>
        <w:rPr>
          <w:rFonts w:hint="eastAsia" w:ascii="仿宋" w:hAnsi="仿宋" w:eastAsia="仿宋"/>
          <w:bCs/>
          <w:sz w:val="32"/>
          <w:szCs w:val="32"/>
          <w:lang w:eastAsia="zh-CN"/>
        </w:rPr>
        <w:t>）</w:t>
      </w:r>
      <w:r>
        <w:rPr>
          <w:rFonts w:hint="eastAsia" w:ascii="仿宋" w:hAnsi="仿宋" w:eastAsia="仿宋"/>
          <w:bCs/>
          <w:sz w:val="32"/>
          <w:szCs w:val="32"/>
        </w:rPr>
        <w:t>负责促进就业工作，拟订统筹城乡的就业发展规划和政策，完善公共就业创业服务体系，拟订并组织落实创业、就业援助制度，完善职业资格制度，统筹建立面向城乡劳动者的职业培训制度，牵头拟订并实施高校毕业生就业政策。</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四</w:t>
      </w:r>
      <w:r>
        <w:rPr>
          <w:rFonts w:hint="eastAsia" w:ascii="仿宋" w:hAnsi="仿宋" w:eastAsia="仿宋"/>
          <w:bCs/>
          <w:sz w:val="32"/>
          <w:szCs w:val="32"/>
          <w:lang w:eastAsia="zh-CN"/>
        </w:rPr>
        <w:t>）</w:t>
      </w:r>
      <w:r>
        <w:rPr>
          <w:rFonts w:hint="eastAsia" w:ascii="仿宋" w:hAnsi="仿宋" w:eastAsia="仿宋"/>
          <w:bCs/>
          <w:sz w:val="32"/>
          <w:szCs w:val="32"/>
        </w:rPr>
        <w:t>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预决算草案，参与制定全市社会保障基金投资政策。会同有关部门实施全民参保计划。拟订人力资源和社会保障信息化建设总体规划、年度计划，制订相关制度、标准和规范并组织实施。指导、督促企业参加工伤保险。</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五</w:t>
      </w:r>
      <w:r>
        <w:rPr>
          <w:rFonts w:hint="eastAsia" w:ascii="仿宋" w:hAnsi="仿宋" w:eastAsia="仿宋"/>
          <w:bCs/>
          <w:sz w:val="32"/>
          <w:szCs w:val="32"/>
          <w:lang w:eastAsia="zh-CN"/>
        </w:rPr>
        <w:t>）</w:t>
      </w:r>
      <w:r>
        <w:rPr>
          <w:rFonts w:hint="eastAsia" w:ascii="仿宋" w:hAnsi="仿宋" w:eastAsia="仿宋"/>
          <w:bCs/>
          <w:sz w:val="32"/>
          <w:szCs w:val="32"/>
        </w:rPr>
        <w:t>负责就业、失业和相关社会保险基金预测预警和信息引导，拟订应对预案，实施预防、调节和控制，保持就业形势稳定和社会保险基金总体收支平衡。</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六</w:t>
      </w:r>
      <w:r>
        <w:rPr>
          <w:rFonts w:hint="eastAsia" w:ascii="仿宋" w:hAnsi="仿宋" w:eastAsia="仿宋"/>
          <w:bCs/>
          <w:sz w:val="32"/>
          <w:szCs w:val="32"/>
          <w:lang w:eastAsia="zh-CN"/>
        </w:rPr>
        <w:t>）</w:t>
      </w:r>
      <w:r>
        <w:rPr>
          <w:rFonts w:hint="eastAsia" w:ascii="仿宋" w:hAnsi="仿宋" w:eastAsia="仿宋"/>
          <w:bCs/>
          <w:sz w:val="32"/>
          <w:szCs w:val="32"/>
        </w:rPr>
        <w:t>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七</w:t>
      </w:r>
      <w:r>
        <w:rPr>
          <w:rFonts w:hint="eastAsia" w:ascii="仿宋" w:hAnsi="仿宋" w:eastAsia="仿宋"/>
          <w:bCs/>
          <w:sz w:val="32"/>
          <w:szCs w:val="32"/>
          <w:lang w:eastAsia="zh-CN"/>
        </w:rPr>
        <w:t>）</w:t>
      </w:r>
      <w:r>
        <w:rPr>
          <w:rFonts w:hint="eastAsia" w:ascii="仿宋" w:hAnsi="仿宋" w:eastAsia="仿宋"/>
          <w:bCs/>
          <w:sz w:val="32"/>
          <w:szCs w:val="32"/>
        </w:rPr>
        <w:t>牵头推进深化职称制度改革，拟订专业技术人员管理、继续教育和博士后管理等政策，负责高层次专业技术人才选拔和培养工作，拟订吸引国（境）外专家、留学人员来广（回广）工作或定居政策。组织拟订技能人才培养、评价、使用和激励制度。贯彻落实职业资格制度，健全职业技能多元化评价政策。指导、监督各级各类技工学校、民办职业培训机构按国家和省有关规定履行安全管理责任。</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八</w:t>
      </w:r>
      <w:r>
        <w:rPr>
          <w:rFonts w:hint="eastAsia" w:ascii="仿宋" w:hAnsi="仿宋" w:eastAsia="仿宋"/>
          <w:bCs/>
          <w:sz w:val="32"/>
          <w:szCs w:val="32"/>
          <w:lang w:eastAsia="zh-CN"/>
        </w:rPr>
        <w:t>）</w:t>
      </w:r>
      <w:r>
        <w:rPr>
          <w:rFonts w:hint="eastAsia" w:ascii="仿宋" w:hAnsi="仿宋" w:eastAsia="仿宋"/>
          <w:bCs/>
          <w:sz w:val="32"/>
          <w:szCs w:val="32"/>
        </w:rPr>
        <w:t>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九</w:t>
      </w:r>
      <w:r>
        <w:rPr>
          <w:rFonts w:hint="eastAsia" w:ascii="仿宋" w:hAnsi="仿宋" w:eastAsia="仿宋"/>
          <w:bCs/>
          <w:sz w:val="32"/>
          <w:szCs w:val="32"/>
          <w:lang w:eastAsia="zh-CN"/>
        </w:rPr>
        <w:t>）</w:t>
      </w:r>
      <w:r>
        <w:rPr>
          <w:rFonts w:hint="eastAsia" w:ascii="仿宋" w:hAnsi="仿宋" w:eastAsia="仿宋"/>
          <w:bCs/>
          <w:sz w:val="32"/>
          <w:szCs w:val="32"/>
        </w:rPr>
        <w:t>贯彻执行事业单位人员工资收入分配政策和企业职工工资收入分配调控政策，贯彻落实企事业单位人员工资正常增长和支付保障政策，贯彻执行企事业单位人员福利和离退休政策。</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十</w:t>
      </w:r>
      <w:r>
        <w:rPr>
          <w:rFonts w:hint="eastAsia" w:ascii="仿宋" w:hAnsi="仿宋" w:eastAsia="仿宋"/>
          <w:bCs/>
          <w:sz w:val="32"/>
          <w:szCs w:val="32"/>
          <w:lang w:eastAsia="zh-CN"/>
        </w:rPr>
        <w:t>）</w:t>
      </w:r>
      <w:r>
        <w:rPr>
          <w:rFonts w:hint="eastAsia" w:ascii="仿宋" w:hAnsi="仿宋" w:eastAsia="仿宋"/>
          <w:bCs/>
          <w:sz w:val="32"/>
          <w:szCs w:val="32"/>
        </w:rPr>
        <w:t>组织实施国家表彰奖励制度，综合管理政府奖励表彰工作，承担评比达标表彰等工作，根据授权承办以市委、市政府名义开展的奖励表彰活动。承办提请市人大常委会和市政府决定的人事任免事项。</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十一</w:t>
      </w:r>
      <w:r>
        <w:rPr>
          <w:rFonts w:hint="eastAsia" w:ascii="仿宋" w:hAnsi="仿宋" w:eastAsia="仿宋"/>
          <w:bCs/>
          <w:sz w:val="32"/>
          <w:szCs w:val="32"/>
          <w:lang w:eastAsia="zh-CN"/>
        </w:rPr>
        <w:t>）</w:t>
      </w:r>
      <w:r>
        <w:rPr>
          <w:rFonts w:hint="eastAsia" w:ascii="仿宋" w:hAnsi="仿宋" w:eastAsia="仿宋"/>
          <w:bCs/>
          <w:sz w:val="32"/>
          <w:szCs w:val="32"/>
        </w:rPr>
        <w:t>贯彻执行农民工工作相关政策和规划，协调解决重点难点问题，维护农民工合法权益。负责将安全生产纳入农民工技能培训内容。</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十二</w:t>
      </w:r>
      <w:r>
        <w:rPr>
          <w:rFonts w:hint="eastAsia" w:ascii="仿宋" w:hAnsi="仿宋" w:eastAsia="仿宋"/>
          <w:bCs/>
          <w:sz w:val="32"/>
          <w:szCs w:val="32"/>
          <w:lang w:eastAsia="zh-CN"/>
        </w:rPr>
        <w:t>）</w:t>
      </w:r>
      <w:r>
        <w:rPr>
          <w:rFonts w:hint="eastAsia" w:ascii="仿宋" w:hAnsi="仿宋" w:eastAsia="仿宋"/>
          <w:bCs/>
          <w:sz w:val="32"/>
          <w:szCs w:val="32"/>
        </w:rPr>
        <w:t>负责人力资源和社会保障领域内的对外交流与合作工作。</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十三</w:t>
      </w:r>
      <w:r>
        <w:rPr>
          <w:rFonts w:hint="eastAsia" w:ascii="仿宋" w:hAnsi="仿宋" w:eastAsia="仿宋"/>
          <w:bCs/>
          <w:sz w:val="32"/>
          <w:szCs w:val="32"/>
          <w:lang w:eastAsia="zh-CN"/>
        </w:rPr>
        <w:t>）</w:t>
      </w:r>
      <w:r>
        <w:rPr>
          <w:rFonts w:hint="eastAsia" w:ascii="仿宋" w:hAnsi="仿宋" w:eastAsia="仿宋"/>
          <w:bCs/>
          <w:sz w:val="32"/>
          <w:szCs w:val="32"/>
        </w:rPr>
        <w:t>承担职责范围内的安全生产和职业健康、生态环境保护、审批服务便民化等工作。</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十四</w:t>
      </w:r>
      <w:r>
        <w:rPr>
          <w:rFonts w:hint="eastAsia" w:ascii="仿宋" w:hAnsi="仿宋" w:eastAsia="仿宋"/>
          <w:bCs/>
          <w:sz w:val="32"/>
          <w:szCs w:val="32"/>
          <w:lang w:eastAsia="zh-CN"/>
        </w:rPr>
        <w:t>）</w:t>
      </w:r>
      <w:r>
        <w:rPr>
          <w:rFonts w:hint="eastAsia" w:ascii="仿宋" w:hAnsi="仿宋" w:eastAsia="仿宋"/>
          <w:bCs/>
          <w:sz w:val="32"/>
          <w:szCs w:val="32"/>
        </w:rPr>
        <w:t>完成市委、市政府交办的其他事项。</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十五</w:t>
      </w:r>
      <w:r>
        <w:rPr>
          <w:rFonts w:hint="eastAsia" w:ascii="仿宋" w:hAnsi="仿宋" w:eastAsia="仿宋"/>
          <w:bCs/>
          <w:sz w:val="32"/>
          <w:szCs w:val="32"/>
          <w:lang w:eastAsia="zh-CN"/>
        </w:rPr>
        <w:t>）</w:t>
      </w:r>
      <w:r>
        <w:rPr>
          <w:rFonts w:hint="eastAsia" w:ascii="仿宋" w:hAnsi="仿宋" w:eastAsia="仿宋"/>
          <w:bCs/>
          <w:sz w:val="32"/>
          <w:szCs w:val="32"/>
        </w:rPr>
        <w:t>职能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hint="eastAsia"/>
          <w:lang w:eastAsia="zh-CN"/>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十六</w:t>
      </w:r>
      <w:r>
        <w:rPr>
          <w:rFonts w:hint="eastAsia" w:ascii="仿宋" w:hAnsi="仿宋" w:eastAsia="仿宋"/>
          <w:bCs/>
          <w:sz w:val="32"/>
          <w:szCs w:val="32"/>
          <w:lang w:eastAsia="zh-CN"/>
        </w:rPr>
        <w:t>）</w:t>
      </w:r>
      <w:r>
        <w:rPr>
          <w:rFonts w:hint="eastAsia" w:ascii="仿宋" w:hAnsi="仿宋" w:eastAsia="仿宋"/>
          <w:bCs/>
          <w:sz w:val="32"/>
          <w:szCs w:val="32"/>
        </w:rPr>
        <w:t>有关职责分工。高校毕业生就业政策由市人力资源社会保障局牵头，会同教育等部门拟订。高校毕业生离校前的就业指导和服务工作，由教育部门负责；高校毕业生离校后的就业指导和服务工作，由市人力资源社会保障局负责。</w:t>
      </w:r>
    </w:p>
    <w:p>
      <w:pPr>
        <w:pStyle w:val="4"/>
        <w:rPr>
          <w:rStyle w:val="21"/>
          <w:b w:val="0"/>
          <w:bCs w:val="0"/>
          <w:color w:val="auto"/>
          <w:highlight w:val="none"/>
        </w:rPr>
      </w:pPr>
      <w:bookmarkStart w:id="23" w:name="_Toc15396601"/>
      <w:bookmarkStart w:id="24" w:name="_Toc12536"/>
      <w:bookmarkStart w:id="25" w:name="_Toc15377200"/>
      <w:bookmarkStart w:id="26" w:name="_Toc29368"/>
      <w:r>
        <w:rPr>
          <w:rFonts w:hint="eastAsia" w:ascii="黑体" w:eastAsia="黑体"/>
          <w:b w:val="0"/>
          <w:color w:val="auto"/>
          <w:highlight w:val="none"/>
        </w:rPr>
        <w:t>二、</w:t>
      </w:r>
      <w:r>
        <w:rPr>
          <w:rFonts w:hint="eastAsia" w:ascii="黑体" w:hAnsi="黑体" w:eastAsia="黑体"/>
          <w:b w:val="0"/>
          <w:color w:val="auto"/>
          <w:highlight w:val="none"/>
        </w:rPr>
        <w:t>机</w:t>
      </w:r>
      <w:r>
        <w:rPr>
          <w:rStyle w:val="21"/>
          <w:rFonts w:hint="eastAsia" w:ascii="黑体" w:hAnsi="黑体" w:eastAsia="黑体"/>
          <w:b w:val="0"/>
          <w:bCs w:val="0"/>
          <w:color w:val="auto"/>
          <w:highlight w:val="none"/>
        </w:rPr>
        <w:t>构设置</w:t>
      </w:r>
      <w:bookmarkEnd w:id="23"/>
      <w:bookmarkEnd w:id="24"/>
      <w:bookmarkEnd w:id="25"/>
      <w:bookmarkEnd w:id="26"/>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广元市人力资源和社会保障局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4</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w:t>
      </w:r>
    </w:p>
    <w:p>
      <w:pPr>
        <w:pStyle w:val="2"/>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sz w:val="32"/>
          <w:szCs w:val="32"/>
        </w:rPr>
        <w:t>广元市人力资源和社会保障局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年度部门决算编制范围的二级预算单位包括：</w:t>
      </w:r>
    </w:p>
    <w:p>
      <w:pPr>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广元市人力资源和社会保障局机关</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广元市社会保险事务中心</w:t>
      </w:r>
    </w:p>
    <w:p>
      <w:pPr>
        <w:spacing w:line="57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广元市农民工服务中心</w:t>
      </w:r>
    </w:p>
    <w:p>
      <w:pPr>
        <w:spacing w:line="576"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广元市就业创业促进中心</w:t>
      </w:r>
    </w:p>
    <w:p>
      <w:pPr>
        <w:spacing w:line="576"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广元市劳动人事争议仲裁院</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广元市人才交流中心</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广元市人事考试中心</w:t>
      </w:r>
    </w:p>
    <w:p>
      <w:pPr>
        <w:pStyle w:val="2"/>
        <w:adjustRightInd w:val="0"/>
        <w:snapToGrid w:val="0"/>
        <w:spacing w:before="93" w:line="600" w:lineRule="exact"/>
        <w:rPr>
          <w:rFonts w:ascii="仿宋" w:hAnsi="仿宋" w:eastAsia="仿宋"/>
          <w:color w:val="auto"/>
          <w:sz w:val="32"/>
          <w:szCs w:val="32"/>
          <w:highlight w:val="none"/>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widowControl w:val="0"/>
        <w:numPr>
          <w:ilvl w:val="0"/>
          <w:numId w:val="2"/>
        </w:numPr>
        <w:kinsoku/>
        <w:wordWrap/>
        <w:overflowPunct/>
        <w:topLinePunct w:val="0"/>
        <w:autoSpaceDE/>
        <w:autoSpaceDN/>
        <w:bidi w:val="0"/>
        <w:adjustRightInd/>
        <w:snapToGrid/>
        <w:spacing w:line="560" w:lineRule="exact"/>
        <w:ind w:right="440"/>
        <w:jc w:val="center"/>
        <w:textAlignment w:val="auto"/>
      </w:pPr>
      <w:bookmarkStart w:id="27" w:name="_Toc15396602"/>
      <w:bookmarkStart w:id="28" w:name="_Toc14342"/>
      <w:bookmarkStart w:id="29" w:name="_Toc14315"/>
      <w:bookmarkStart w:id="30" w:name="_Toc15377204"/>
      <w:r>
        <w:rPr>
          <w:rFonts w:hint="eastAsia" w:ascii="黑体" w:hAnsi="黑体" w:eastAsia="黑体"/>
          <w:b w:val="0"/>
          <w:bCs/>
          <w:color w:val="auto"/>
          <w:highlight w:val="none"/>
          <w:lang w:val="en-US" w:eastAsia="zh-CN"/>
        </w:rPr>
        <w:t>2022年度</w:t>
      </w:r>
      <w:r>
        <w:rPr>
          <w:rStyle w:val="20"/>
          <w:rFonts w:hint="eastAsia" w:ascii="黑体" w:hAnsi="黑体" w:eastAsia="黑体"/>
          <w:b w:val="0"/>
          <w:bCs/>
          <w:color w:val="auto"/>
          <w:highlight w:val="none"/>
        </w:rPr>
        <w:t>部门决算情况说明</w:t>
      </w:r>
      <w:bookmarkEnd w:id="27"/>
      <w:bookmarkEnd w:id="28"/>
      <w:bookmarkEnd w:id="29"/>
      <w:bookmarkEnd w:id="30"/>
    </w:p>
    <w:p>
      <w:pPr>
        <w:pStyle w:val="31"/>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outlineLvl w:val="1"/>
        <w:rPr>
          <w:rStyle w:val="21"/>
          <w:rFonts w:ascii="黑体" w:hAnsi="黑体" w:eastAsia="黑体"/>
          <w:b w:val="0"/>
          <w:color w:val="auto"/>
          <w:highlight w:val="none"/>
        </w:rPr>
      </w:pPr>
      <w:bookmarkStart w:id="31" w:name="_Toc15396603"/>
      <w:bookmarkStart w:id="32" w:name="_Toc15377205"/>
      <w:bookmarkStart w:id="33" w:name="_Toc31610"/>
      <w:bookmarkStart w:id="34" w:name="_Toc30221"/>
      <w:r>
        <w:rPr>
          <w:rFonts w:hint="eastAsia" w:ascii="黑体" w:hAnsi="黑体" w:eastAsia="黑体"/>
          <w:color w:val="auto"/>
          <w:sz w:val="32"/>
          <w:szCs w:val="32"/>
          <w:highlight w:val="none"/>
        </w:rPr>
        <w:t>收</w:t>
      </w:r>
      <w:r>
        <w:rPr>
          <w:rStyle w:val="21"/>
          <w:rFonts w:hint="eastAsia" w:ascii="黑体" w:hAnsi="黑体" w:eastAsia="黑体"/>
          <w:b w:val="0"/>
          <w:color w:val="auto"/>
          <w:highlight w:val="none"/>
        </w:rPr>
        <w:t>入支出决算总体情况说明</w:t>
      </w:r>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7368.67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1003.17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11.98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2022年职业年金贴息收、支较上年减少1218.26万元。</w:t>
      </w:r>
    </w:p>
    <w:p>
      <w:pPr>
        <w:pStyle w:val="2"/>
        <w:jc w:val="center"/>
        <w:rPr>
          <w:rFonts w:hint="eastAsia"/>
          <w:lang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3237230</wp:posOffset>
                </wp:positionH>
                <wp:positionV relativeFrom="paragraph">
                  <wp:posOffset>877570</wp:posOffset>
                </wp:positionV>
                <wp:extent cx="933450" cy="267970"/>
                <wp:effectExtent l="0" t="0" r="0" b="17780"/>
                <wp:wrapNone/>
                <wp:docPr id="5" name="文本框 5"/>
                <wp:cNvGraphicFramePr/>
                <a:graphic xmlns:a="http://schemas.openxmlformats.org/drawingml/2006/main">
                  <a:graphicData uri="http://schemas.microsoft.com/office/word/2010/wordprocessingShape">
                    <wps:wsp>
                      <wps:cNvSpPr txBox="1"/>
                      <wps:spPr>
                        <a:xfrm>
                          <a:off x="4427855" y="5711190"/>
                          <a:ext cx="933450"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7368.67万元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9pt;margin-top:69.1pt;height:21.1pt;width:73.5pt;z-index:251662336;mso-width-relative:page;mso-height-relative:page;" fillcolor="#FFFFFF [3201]" filled="t" stroked="f" coordsize="21600,21600" o:gfxdata="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dYMDV&#10;AAAACwEAAA8AAAAAAAAAAQAgAAAAIgAAAGRycy9kb3ducmV2LnhtbFBLAQIUABQAAAAIAIdO4kAR&#10;OROWXAIAAJoEAAAOAAAAAAAAAAEAIAAAACQBAABkcnMvZTJvRG9jLnhtbFBLBQYAAAAABgAGAFkB&#10;AADyBQAAAAA=&#10;">
                <v:fill on="t" focussize="0,0"/>
                <v:stroke on="f" weight="0.5pt"/>
                <v:imagedata o:title=""/>
                <o:lock v:ext="edit" aspectratio="f"/>
                <v:textbox>
                  <w:txbxContent>
                    <w:p>
                      <w:pPr>
                        <w:rPr>
                          <w:rFonts w:hint="default" w:eastAsia="宋体"/>
                          <w:lang w:val="en-US" w:eastAsia="zh-CN"/>
                        </w:rPr>
                      </w:pPr>
                      <w:r>
                        <w:rPr>
                          <w:rFonts w:hint="eastAsia"/>
                          <w:lang w:val="en-US" w:eastAsia="zh-CN"/>
                        </w:rPr>
                        <w:t>7368.67万元</w:t>
                      </w:r>
                    </w:p>
                  </w:txbxContent>
                </v:textbox>
              </v:shape>
            </w:pict>
          </mc:Fallback>
        </mc:AlternateContent>
      </w:r>
      <w:r>
        <w:rPr>
          <w:sz w:val="30"/>
        </w:rPr>
        <mc:AlternateContent>
          <mc:Choice Requires="wps">
            <w:drawing>
              <wp:anchor distT="0" distB="0" distL="114300" distR="114300" simplePos="0" relativeHeight="251661312" behindDoc="0" locked="0" layoutInCell="1" allowOverlap="1">
                <wp:simplePos x="0" y="0"/>
                <wp:positionH relativeFrom="column">
                  <wp:posOffset>1856105</wp:posOffset>
                </wp:positionH>
                <wp:positionV relativeFrom="paragraph">
                  <wp:posOffset>146050</wp:posOffset>
                </wp:positionV>
                <wp:extent cx="962025" cy="294640"/>
                <wp:effectExtent l="0" t="0" r="9525" b="10160"/>
                <wp:wrapNone/>
                <wp:docPr id="4" name="文本框 4"/>
                <wp:cNvGraphicFramePr/>
                <a:graphic xmlns:a="http://schemas.openxmlformats.org/drawingml/2006/main">
                  <a:graphicData uri="http://schemas.microsoft.com/office/word/2010/wordprocessingShape">
                    <wps:wsp>
                      <wps:cNvSpPr txBox="1"/>
                      <wps:spPr>
                        <a:xfrm>
                          <a:off x="2703830" y="4644390"/>
                          <a:ext cx="962025" cy="2946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8371.84万元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15pt;margin-top:11.5pt;height:23.2pt;width:75.75pt;z-index:251661312;mso-width-relative:page;mso-height-relative:page;" fillcolor="#FFFFFF [3201]" filled="t" stroked="f" coordsize="21600,21600" o:gfxdata="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6VzIB1AAA&#10;AAkBAAAPAAAAAAAAAAEAIAAAACIAAABkcnMvZG93bnJldi54bWxQSwECFAAUAAAACACHTuJAKBLd&#10;vlsCAACaBAAADgAAAAAAAAABACAAAAAjAQAAZHJzL2Uyb0RvYy54bWxQSwUGAAAAAAYABgBZAQAA&#10;8AUAAAAA&#10;">
                <v:fill on="t" focussize="0,0"/>
                <v:stroke on="f" weight="0.5pt"/>
                <v:imagedata o:title=""/>
                <o:lock v:ext="edit" aspectratio="f"/>
                <v:textbox>
                  <w:txbxContent>
                    <w:p>
                      <w:pPr>
                        <w:rPr>
                          <w:rFonts w:hint="default" w:eastAsia="宋体"/>
                          <w:lang w:val="en-US" w:eastAsia="zh-CN"/>
                        </w:rPr>
                      </w:pPr>
                      <w:r>
                        <w:rPr>
                          <w:rFonts w:hint="eastAsia"/>
                          <w:lang w:val="en-US" w:eastAsia="zh-CN"/>
                        </w:rPr>
                        <w:t>8371.84万元</w:t>
                      </w:r>
                    </w:p>
                  </w:txbxContent>
                </v:textbox>
              </v:shape>
            </w:pict>
          </mc:Fallback>
        </mc:AlternateContent>
      </w:r>
      <w:r>
        <w:drawing>
          <wp:inline distT="0" distB="0" distL="114300" distR="114300">
            <wp:extent cx="3402965" cy="1704975"/>
            <wp:effectExtent l="4445" t="4445" r="21590"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31"/>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Chars="0"/>
        <w:textAlignment w:val="auto"/>
        <w:outlineLvl w:val="1"/>
        <w:rPr>
          <w:rStyle w:val="21"/>
          <w:rFonts w:ascii="黑体" w:hAnsi="黑体" w:eastAsia="黑体"/>
          <w:b w:val="0"/>
          <w:color w:val="auto"/>
          <w:highlight w:val="none"/>
        </w:rPr>
      </w:pPr>
      <w:bookmarkStart w:id="35" w:name="_Toc19702"/>
      <w:bookmarkStart w:id="36" w:name="_Toc15377206"/>
      <w:bookmarkStart w:id="37" w:name="_Toc12266"/>
      <w:bookmarkStart w:id="38" w:name="_Toc15396604"/>
      <w:r>
        <w:rPr>
          <w:rFonts w:hint="eastAsia" w:ascii="黑体" w:hAnsi="黑体" w:eastAsia="黑体"/>
          <w:color w:val="auto"/>
          <w:sz w:val="32"/>
          <w:szCs w:val="32"/>
          <w:highlight w:val="none"/>
        </w:rPr>
        <w:t>收</w:t>
      </w:r>
      <w:r>
        <w:rPr>
          <w:rStyle w:val="21"/>
          <w:rFonts w:hint="eastAsia" w:ascii="黑体" w:hAnsi="黑体" w:eastAsia="黑体"/>
          <w:b w:val="0"/>
          <w:color w:val="auto"/>
          <w:highlight w:val="none"/>
        </w:rPr>
        <w:t>入决算情况说明</w:t>
      </w:r>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olor w:val="auto"/>
          <w:sz w:val="32"/>
          <w:szCs w:val="32"/>
          <w:highlight w:val="none"/>
        </w:rPr>
      </w:pPr>
      <w:bookmarkStart w:id="39" w:name="_Toc10575"/>
      <w:bookmarkStart w:id="40" w:name="_Toc17190"/>
      <w:bookmarkStart w:id="41" w:name="_Toc26931"/>
      <w:bookmarkStart w:id="42" w:name="_Toc767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6685.35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6685.30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99.99</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9"/>
      <w:bookmarkEnd w:id="40"/>
      <w:bookmarkEnd w:id="41"/>
      <w:bookmarkEnd w:id="42"/>
    </w:p>
    <w:p>
      <w:pPr>
        <w:pStyle w:val="2"/>
        <w:jc w:val="center"/>
        <w:rPr>
          <w:rFonts w:hint="eastAsia" w:ascii="仿宋" w:hAnsi="仿宋" w:eastAsia="仿宋"/>
          <w:color w:val="auto"/>
          <w:sz w:val="32"/>
          <w:szCs w:val="32"/>
          <w:highlight w:val="none"/>
        </w:rPr>
      </w:pPr>
      <w:r>
        <w:drawing>
          <wp:inline distT="0" distB="0" distL="114300" distR="114300">
            <wp:extent cx="3255645" cy="1807210"/>
            <wp:effectExtent l="5080" t="4445" r="15875" b="17145"/>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31"/>
        <w:numPr>
          <w:ilvl w:val="0"/>
          <w:numId w:val="3"/>
        </w:numPr>
        <w:spacing w:line="600" w:lineRule="exact"/>
        <w:ind w:firstLineChars="0"/>
        <w:outlineLvl w:val="1"/>
        <w:rPr>
          <w:rStyle w:val="21"/>
          <w:rFonts w:ascii="黑体" w:hAnsi="黑体" w:eastAsia="黑体"/>
          <w:b w:val="0"/>
          <w:color w:val="auto"/>
          <w:highlight w:val="none"/>
        </w:rPr>
      </w:pPr>
      <w:bookmarkStart w:id="43" w:name="_Toc22410"/>
      <w:bookmarkStart w:id="44" w:name="_Toc15396605"/>
      <w:bookmarkStart w:id="45" w:name="_Toc9759"/>
      <w:bookmarkStart w:id="46" w:name="_Toc15377207"/>
      <w:r>
        <w:rPr>
          <w:rFonts w:hint="eastAsia" w:ascii="黑体" w:hAnsi="黑体" w:eastAsia="黑体"/>
          <w:color w:val="auto"/>
          <w:sz w:val="32"/>
          <w:szCs w:val="32"/>
          <w:highlight w:val="none"/>
        </w:rPr>
        <w:t>支</w:t>
      </w:r>
      <w:r>
        <w:rPr>
          <w:rStyle w:val="21"/>
          <w:rFonts w:hint="eastAsia" w:ascii="黑体" w:hAnsi="黑体" w:eastAsia="黑体"/>
          <w:b w:val="0"/>
          <w:color w:val="auto"/>
          <w:highlight w:val="none"/>
        </w:rPr>
        <w:t>出决算情况说明</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_GB2312" w:eastAsia="仿宋_GB2312"/>
          <w:color w:val="auto"/>
          <w:sz w:val="32"/>
          <w:szCs w:val="32"/>
          <w:highlight w:val="none"/>
        </w:rPr>
      </w:pPr>
      <w:bookmarkStart w:id="47" w:name="_Toc23626"/>
      <w:bookmarkStart w:id="48" w:name="_Toc23436"/>
      <w:bookmarkStart w:id="49" w:name="_Toc16772"/>
      <w:bookmarkStart w:id="50" w:name="_Toc2248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7259.94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5642.69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77.72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1617.25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22.28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7"/>
      <w:bookmarkEnd w:id="48"/>
      <w:bookmarkEnd w:id="49"/>
      <w:bookmarkEnd w:id="50"/>
    </w:p>
    <w:p>
      <w:pPr>
        <w:pStyle w:val="2"/>
        <w:jc w:val="center"/>
      </w:pPr>
      <w:r>
        <w:rPr>
          <w:sz w:val="30"/>
        </w:rPr>
        <mc:AlternateContent>
          <mc:Choice Requires="wps">
            <w:drawing>
              <wp:anchor distT="0" distB="0" distL="114300" distR="114300" simplePos="0" relativeHeight="251663360" behindDoc="0" locked="0" layoutInCell="1" allowOverlap="1">
                <wp:simplePos x="0" y="0"/>
                <wp:positionH relativeFrom="column">
                  <wp:posOffset>3561080</wp:posOffset>
                </wp:positionH>
                <wp:positionV relativeFrom="paragraph">
                  <wp:posOffset>1530350</wp:posOffset>
                </wp:positionV>
                <wp:extent cx="1096010" cy="514350"/>
                <wp:effectExtent l="0" t="0" r="0" b="0"/>
                <wp:wrapNone/>
                <wp:docPr id="12" name="文本框 12"/>
                <wp:cNvGraphicFramePr/>
                <a:graphic xmlns:a="http://schemas.openxmlformats.org/drawingml/2006/main">
                  <a:graphicData uri="http://schemas.microsoft.com/office/word/2010/wordprocessingShape">
                    <wps:wsp>
                      <wps:cNvSpPr txBox="1"/>
                      <wps:spPr>
                        <a:xfrm>
                          <a:off x="3751580" y="4355465"/>
                          <a:ext cx="1096010" cy="514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5642.69万元，占比77.72%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0.4pt;margin-top:120.5pt;height:40.5pt;width:86.3pt;z-index:251663360;mso-width-relative:page;mso-height-relative:page;" filled="f" stroked="f" coordsize="21600,21600" o:gfxdata="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RaeYLcAAAACwEAAA8AAAAAAAAA&#10;AQAgAAAAIgAAAGRycy9kb3ducmV2LnhtbFBLAQIUABQAAAAIAIdO4kDP6DF3RgIAAHQEAAAOAAAA&#10;AAAAAAEAIAAAACsBAABkcnMvZTJvRG9jLnhtbFBLBQYAAAAABgAGAFkBAADjBQAAAAA=&#10;">
                <v:fill on="f" focussize="0,0"/>
                <v:stroke on="f" weight="0.5pt"/>
                <v:imagedata o:title=""/>
                <o:lock v:ext="edit" aspectratio="f"/>
                <v:textbox>
                  <w:txbxContent>
                    <w:p>
                      <w:pPr>
                        <w:rPr>
                          <w:rFonts w:hint="default" w:eastAsia="宋体"/>
                          <w:lang w:val="en-US" w:eastAsia="zh-CN"/>
                        </w:rPr>
                      </w:pPr>
                      <w:r>
                        <w:rPr>
                          <w:rFonts w:hint="eastAsia"/>
                          <w:lang w:val="en-US" w:eastAsia="zh-CN"/>
                        </w:rPr>
                        <w:t>5642.69万元，占比77.72%</w:t>
                      </w:r>
                    </w:p>
                  </w:txbxContent>
                </v:textbox>
              </v:shape>
            </w:pict>
          </mc:Fallback>
        </mc:AlternateContent>
      </w:r>
      <w:r>
        <w:rPr>
          <w:sz w:val="30"/>
        </w:rPr>
        <mc:AlternateContent>
          <mc:Choice Requires="wps">
            <w:drawing>
              <wp:anchor distT="0" distB="0" distL="114300" distR="114300" simplePos="0" relativeHeight="251668480" behindDoc="0" locked="0" layoutInCell="1" allowOverlap="1">
                <wp:simplePos x="0" y="0"/>
                <wp:positionH relativeFrom="column">
                  <wp:posOffset>1875155</wp:posOffset>
                </wp:positionH>
                <wp:positionV relativeFrom="paragraph">
                  <wp:posOffset>861060</wp:posOffset>
                </wp:positionV>
                <wp:extent cx="438150" cy="133350"/>
                <wp:effectExtent l="3810" t="12065" r="15240" b="26035"/>
                <wp:wrapNone/>
                <wp:docPr id="19" name="直接箭头连接符 19"/>
                <wp:cNvGraphicFramePr/>
                <a:graphic xmlns:a="http://schemas.openxmlformats.org/drawingml/2006/main">
                  <a:graphicData uri="http://schemas.microsoft.com/office/word/2010/wordprocessingShape">
                    <wps:wsp>
                      <wps:cNvCnPr/>
                      <wps:spPr>
                        <a:xfrm>
                          <a:off x="3018155" y="3268980"/>
                          <a:ext cx="438150" cy="13335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47.65pt;margin-top:67.8pt;height:10.5pt;width:34.5pt;z-index:251668480;mso-width-relative:page;mso-height-relative:page;" filled="f" stroked="t" coordsize="21600,21600" o:gfxdata="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EDHtHaAAAACwEAAA8AAAAAAAAAAQAgAAAA&#10;IgAAAGRycy9kb3ducmV2LnhtbFBLAQIUABQAAAAIAIdO4kCfcpa4CQIAANoDAAAOAAAAAAAAAAEA&#10;IAAAACkBAABkcnMvZTJvRG9jLnhtbFBLBQYAAAAABgAGAFkBAACkBQAAAAA=&#10;">
                <v:fill on="f" focussize="0,0"/>
                <v:stroke weight="2pt" color="#000000 [3213]" joinstyle="round" endarrow="open"/>
                <v:imagedata o:title=""/>
                <o:lock v:ext="edit" aspectratio="f"/>
              </v:shape>
            </w:pict>
          </mc:Fallback>
        </mc:AlternateContent>
      </w:r>
      <w:r>
        <w:rPr>
          <w:sz w:val="30"/>
        </w:rPr>
        <mc:AlternateContent>
          <mc:Choice Requires="wps">
            <w:drawing>
              <wp:anchor distT="0" distB="0" distL="114300" distR="114300" simplePos="0" relativeHeight="251667456" behindDoc="0" locked="0" layoutInCell="1" allowOverlap="1">
                <wp:simplePos x="0" y="0"/>
                <wp:positionH relativeFrom="column">
                  <wp:posOffset>3237230</wp:posOffset>
                </wp:positionH>
                <wp:positionV relativeFrom="paragraph">
                  <wp:posOffset>1499235</wp:posOffset>
                </wp:positionV>
                <wp:extent cx="323850" cy="288290"/>
                <wp:effectExtent l="0" t="0" r="19050" b="16510"/>
                <wp:wrapNone/>
                <wp:docPr id="18" name="直接箭头连接符 18"/>
                <wp:cNvGraphicFramePr/>
                <a:graphic xmlns:a="http://schemas.openxmlformats.org/drawingml/2006/main">
                  <a:graphicData uri="http://schemas.microsoft.com/office/word/2010/wordprocessingShape">
                    <wps:wsp>
                      <wps:cNvCnPr>
                        <a:stCxn id="12" idx="1"/>
                      </wps:cNvCnPr>
                      <wps:spPr>
                        <a:xfrm flipH="1" flipV="1">
                          <a:off x="4180205" y="3869055"/>
                          <a:ext cx="323850" cy="28829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 y;margin-left:254.9pt;margin-top:118.05pt;height:22.7pt;width:25.5pt;z-index:251667456;mso-width-relative:page;mso-height-relative:page;" filled="f" stroked="t" coordsize="21600,21600" o:gfxdata="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JdpNgAAAALAQAADwAAAAAAAAABACAAAAAiAAAAZHJzL2Rvd25yZXYueG1sUEsBAhQAFAAAAAgA&#10;h07iQKC4ynIlAgAAFQQAAA4AAAAAAAAAAQAgAAAAJwEAAGRycy9lMm9Eb2MueG1sUEsFBgAAAAAG&#10;AAYAWQEAAL4FAAAAAA==&#10;">
                <v:fill on="f" focussize="0,0"/>
                <v:stroke weight="2pt" color="#000000 [3213]" joinstyle="round" endarrow="open"/>
                <v:imagedata o:title=""/>
                <o:lock v:ext="edit" aspectratio="f"/>
              </v:shape>
            </w:pict>
          </mc:Fallback>
        </mc:AlternateContent>
      </w:r>
      <w:r>
        <w:rPr>
          <w:sz w:val="30"/>
        </w:rPr>
        <mc:AlternateContent>
          <mc:Choice Requires="wps">
            <w:drawing>
              <wp:anchor distT="0" distB="0" distL="114300" distR="114300" simplePos="0" relativeHeight="251664384" behindDoc="0" locked="0" layoutInCell="1" allowOverlap="1">
                <wp:simplePos x="0" y="0"/>
                <wp:positionH relativeFrom="column">
                  <wp:posOffset>1046480</wp:posOffset>
                </wp:positionH>
                <wp:positionV relativeFrom="paragraph">
                  <wp:posOffset>596900</wp:posOffset>
                </wp:positionV>
                <wp:extent cx="1096010" cy="5143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096010" cy="514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1617.25万元，占比22.28%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4pt;margin-top:47pt;height:40.5pt;width:86.3pt;z-index:251664384;mso-width-relative:page;mso-height-relative:page;" filled="f" stroked="f" coordsize="21600,21600" o:gfxdata="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8/kkNsAAAAKAQAADwAAAAAAAAABACAAAAAiAAAAZHJz&#10;L2Rvd25yZXYueG1sUEsBAhQAFAAAAAgAh07iQMcDwms6AgAAaAQAAA4AAAAAAAAAAQAgAAAAKgEA&#10;AGRycy9lMm9Eb2MueG1sUEsFBgAAAAAGAAYAWQEAANYFAAAAAA==&#10;">
                <v:fill on="f" focussize="0,0"/>
                <v:stroke on="f" weight="0.5pt"/>
                <v:imagedata o:title=""/>
                <o:lock v:ext="edit" aspectratio="f"/>
                <v:textbox>
                  <w:txbxContent>
                    <w:p>
                      <w:pPr>
                        <w:rPr>
                          <w:rFonts w:hint="default" w:eastAsia="宋体"/>
                          <w:lang w:val="en-US" w:eastAsia="zh-CN"/>
                        </w:rPr>
                      </w:pPr>
                      <w:r>
                        <w:rPr>
                          <w:rFonts w:hint="eastAsia"/>
                          <w:lang w:val="en-US" w:eastAsia="zh-CN"/>
                        </w:rPr>
                        <w:t>1617.25万元，占比22.28%</w:t>
                      </w:r>
                    </w:p>
                  </w:txbxContent>
                </v:textbox>
              </v:shape>
            </w:pict>
          </mc:Fallback>
        </mc:AlternateContent>
      </w:r>
      <w:r>
        <w:drawing>
          <wp:inline distT="0" distB="0" distL="114300" distR="114300">
            <wp:extent cx="3481705" cy="2190750"/>
            <wp:effectExtent l="4445" t="4445" r="19050"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pPr>
      <w:r>
        <w:rPr>
          <w:rFonts w:hint="eastAsia" w:ascii="仿宋" w:hAnsi="仿宋" w:eastAsia="仿宋"/>
          <w:color w:val="auto"/>
          <w:sz w:val="32"/>
          <w:szCs w:val="32"/>
          <w:highlight w:val="none"/>
        </w:rPr>
        <w:t>（图3：支出决算结构图）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21"/>
          <w:rFonts w:ascii="黑体" w:hAnsi="黑体" w:eastAsia="黑体"/>
          <w:b w:val="0"/>
          <w:color w:val="auto"/>
          <w:highlight w:val="none"/>
        </w:rPr>
      </w:pPr>
      <w:bookmarkStart w:id="51" w:name="_Toc15377208"/>
      <w:bookmarkStart w:id="52" w:name="_Toc15396606"/>
      <w:bookmarkStart w:id="53" w:name="_Toc19827"/>
      <w:bookmarkStart w:id="54" w:name="_Toc18839"/>
      <w:r>
        <w:rPr>
          <w:rFonts w:hint="eastAsia" w:ascii="黑体" w:hAnsi="黑体" w:eastAsia="黑体"/>
          <w:color w:val="auto"/>
          <w:sz w:val="32"/>
          <w:szCs w:val="32"/>
          <w:highlight w:val="none"/>
        </w:rPr>
        <w:t>四、财</w:t>
      </w:r>
      <w:r>
        <w:rPr>
          <w:rStyle w:val="21"/>
          <w:rFonts w:hint="eastAsia" w:ascii="黑体" w:hAnsi="黑体" w:eastAsia="黑体"/>
          <w:b w:val="0"/>
          <w:color w:val="auto"/>
          <w:highlight w:val="none"/>
        </w:rPr>
        <w:t>政拨款收入支出决算总体情况说明</w:t>
      </w:r>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7368.56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w:t>
      </w:r>
      <w:r>
        <w:rPr>
          <w:rFonts w:hint="eastAsia" w:ascii="仿宋" w:hAnsi="仿宋" w:eastAsia="仿宋"/>
          <w:color w:val="auto"/>
          <w:sz w:val="32"/>
          <w:szCs w:val="32"/>
          <w:highlight w:val="none"/>
          <w:lang w:val="en-US" w:eastAsia="zh-CN"/>
        </w:rPr>
        <w:t>各</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1002.88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11.98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2022年职业年金贴息收、支较上年减少1218.26万元。</w:t>
      </w:r>
    </w:p>
    <w:p>
      <w:pPr>
        <w:pStyle w:val="2"/>
        <w:jc w:val="center"/>
        <w:rPr>
          <w:rFonts w:ascii="仿宋" w:hAnsi="仿宋" w:eastAsia="仿宋"/>
          <w:color w:val="auto"/>
          <w:sz w:val="32"/>
          <w:szCs w:val="32"/>
          <w:highlight w:val="none"/>
        </w:rPr>
      </w:pPr>
      <w:r>
        <w:rPr>
          <w:sz w:val="30"/>
        </w:rPr>
        <mc:AlternateContent>
          <mc:Choice Requires="wps">
            <w:drawing>
              <wp:anchor distT="0" distB="0" distL="114300" distR="114300" simplePos="0" relativeHeight="251666432" behindDoc="0" locked="0" layoutInCell="1" allowOverlap="1">
                <wp:simplePos x="0" y="0"/>
                <wp:positionH relativeFrom="column">
                  <wp:posOffset>3190240</wp:posOffset>
                </wp:positionH>
                <wp:positionV relativeFrom="paragraph">
                  <wp:posOffset>154305</wp:posOffset>
                </wp:positionV>
                <wp:extent cx="998855" cy="266065"/>
                <wp:effectExtent l="0" t="0" r="10795" b="635"/>
                <wp:wrapNone/>
                <wp:docPr id="17" name="文本框 17"/>
                <wp:cNvGraphicFramePr/>
                <a:graphic xmlns:a="http://schemas.openxmlformats.org/drawingml/2006/main">
                  <a:graphicData uri="http://schemas.microsoft.com/office/word/2010/wordprocessingShape">
                    <wps:wsp>
                      <wps:cNvSpPr txBox="1"/>
                      <wps:spPr>
                        <a:xfrm>
                          <a:off x="0" y="0"/>
                          <a:ext cx="99885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8371.44万元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2pt;margin-top:12.15pt;height:20.95pt;width:78.65pt;z-index:251666432;mso-width-relative:page;mso-height-relative:page;" fillcolor="#FFFFFF [3201]" filled="t" stroked="f" coordsize="21600,21600" o:gfxdata="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53V5HVAAAACQEAAA8AAAAA&#10;AAAAAQAgAAAAIgAAAGRycy9kb3ducmV2LnhtbFBLAQIUABQAAAAIAIdO4kARobJNUAIAAJAEAAAO&#10;AAAAAAAAAAEAIAAAACQBAABkcnMvZTJvRG9jLnhtbFBLBQYAAAAABgAGAFkBAADmBQAAAAA=&#10;">
                <v:fill on="t" focussize="0,0"/>
                <v:stroke on="f" weight="0.5pt"/>
                <v:imagedata o:title=""/>
                <o:lock v:ext="edit" aspectratio="f"/>
                <v:textbox>
                  <w:txbxContent>
                    <w:p>
                      <w:pPr>
                        <w:rPr>
                          <w:rFonts w:hint="default" w:eastAsia="宋体"/>
                          <w:lang w:val="en-US" w:eastAsia="zh-CN"/>
                        </w:rPr>
                      </w:pPr>
                      <w:r>
                        <w:rPr>
                          <w:rFonts w:hint="eastAsia"/>
                          <w:lang w:val="en-US" w:eastAsia="zh-CN"/>
                        </w:rPr>
                        <w:t>8371.44万元</w:t>
                      </w:r>
                    </w:p>
                  </w:txbxContent>
                </v:textbox>
              </v:shape>
            </w:pict>
          </mc:Fallback>
        </mc:AlternateContent>
      </w:r>
      <w:r>
        <w:rPr>
          <w:sz w:val="30"/>
        </w:rPr>
        <mc:AlternateContent>
          <mc:Choice Requires="wps">
            <w:drawing>
              <wp:anchor distT="0" distB="0" distL="114300" distR="114300" simplePos="0" relativeHeight="251665408" behindDoc="0" locked="0" layoutInCell="1" allowOverlap="1">
                <wp:simplePos x="0" y="0"/>
                <wp:positionH relativeFrom="column">
                  <wp:posOffset>1732915</wp:posOffset>
                </wp:positionH>
                <wp:positionV relativeFrom="paragraph">
                  <wp:posOffset>1078230</wp:posOffset>
                </wp:positionV>
                <wp:extent cx="998855" cy="266065"/>
                <wp:effectExtent l="0" t="0" r="10795" b="635"/>
                <wp:wrapNone/>
                <wp:docPr id="15" name="文本框 15"/>
                <wp:cNvGraphicFramePr/>
                <a:graphic xmlns:a="http://schemas.openxmlformats.org/drawingml/2006/main">
                  <a:graphicData uri="http://schemas.microsoft.com/office/word/2010/wordprocessingShape">
                    <wps:wsp>
                      <wps:cNvSpPr txBox="1"/>
                      <wps:spPr>
                        <a:xfrm>
                          <a:off x="2799080" y="8145780"/>
                          <a:ext cx="99885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7368.56万元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45pt;margin-top:84.9pt;height:20.95pt;width:78.65pt;z-index:251665408;mso-width-relative:page;mso-height-relative:page;" fillcolor="#FFFFFF [3201]" filled="t" stroked="f" coordsize="21600,21600" o:gfxdata="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5NdOdUA&#10;AAALAQAADwAAAAAAAAABACAAAAAiAAAAZHJzL2Rvd25yZXYueG1sUEsBAhQAFAAAAAgAh07iQEp9&#10;Y6JbAgAAnAQAAA4AAAAAAAAAAQAgAAAAJAEAAGRycy9lMm9Eb2MueG1sUEsFBgAAAAAGAAYAWQEA&#10;APEFAAAAAA==&#10;">
                <v:fill on="t" focussize="0,0"/>
                <v:stroke on="f" weight="0.5pt"/>
                <v:imagedata o:title=""/>
                <o:lock v:ext="edit" aspectratio="f"/>
                <v:textbox>
                  <w:txbxContent>
                    <w:p>
                      <w:pPr>
                        <w:rPr>
                          <w:rFonts w:hint="default" w:eastAsia="宋体"/>
                          <w:lang w:val="en-US" w:eastAsia="zh-CN"/>
                        </w:rPr>
                      </w:pPr>
                      <w:r>
                        <w:rPr>
                          <w:rFonts w:hint="eastAsia"/>
                          <w:lang w:val="en-US" w:eastAsia="zh-CN"/>
                        </w:rPr>
                        <w:t>7368.56万元</w:t>
                      </w:r>
                    </w:p>
                  </w:txbxContent>
                </v:textbox>
              </v:shape>
            </w:pict>
          </mc:Fallback>
        </mc:AlternateContent>
      </w:r>
      <w:r>
        <w:drawing>
          <wp:inline distT="0" distB="0" distL="114300" distR="114300">
            <wp:extent cx="3187700" cy="1734185"/>
            <wp:effectExtent l="4445" t="4445" r="8255" b="1397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1"/>
          <w:rFonts w:ascii="黑体" w:hAnsi="黑体" w:eastAsia="黑体"/>
          <w:b w:val="0"/>
          <w:color w:val="auto"/>
          <w:highlight w:val="none"/>
        </w:rPr>
      </w:pPr>
      <w:bookmarkStart w:id="55" w:name="_Toc15396607"/>
      <w:bookmarkStart w:id="56" w:name="_Toc15377209"/>
      <w:bookmarkStart w:id="57" w:name="_Toc11445"/>
      <w:bookmarkStart w:id="58" w:name="_Toc2769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1"/>
          <w:rFonts w:hint="eastAsia" w:ascii="黑体" w:hAnsi="黑体" w:eastAsia="黑体"/>
          <w:b w:val="0"/>
          <w:color w:val="auto"/>
          <w:highlight w:val="none"/>
        </w:rPr>
        <w:t>般公共预算财政拨款支出决算情况说明</w:t>
      </w:r>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color w:val="auto"/>
          <w:sz w:val="32"/>
          <w:szCs w:val="32"/>
          <w:highlight w:val="none"/>
        </w:rPr>
      </w:pPr>
      <w:bookmarkStart w:id="59" w:name="_Toc15377210"/>
      <w:r>
        <w:rPr>
          <w:rFonts w:hint="eastAsia" w:ascii="仿宋" w:hAnsi="仿宋" w:eastAsia="仿宋"/>
          <w:b/>
          <w:color w:val="auto"/>
          <w:sz w:val="32"/>
          <w:szCs w:val="32"/>
          <w:highlight w:val="none"/>
        </w:rPr>
        <w:t>（一）一般公共预算财政拨款支出决算总体情况</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7259.83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193.35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2.59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2022年职业年金贴息收、支较上年减少所致。</w:t>
      </w:r>
    </w:p>
    <w:p>
      <w:pPr>
        <w:pStyle w:val="2"/>
        <w:rPr>
          <w:rFonts w:hint="default" w:ascii="仿宋" w:hAnsi="仿宋" w:eastAsia="仿宋"/>
          <w:color w:val="auto"/>
          <w:sz w:val="32"/>
          <w:szCs w:val="32"/>
          <w:highlight w:val="none"/>
          <w:lang w:val="en-US" w:eastAsia="zh-CN"/>
        </w:rPr>
      </w:pPr>
      <w:r>
        <w:rPr>
          <w:sz w:val="30"/>
        </w:rPr>
        <mc:AlternateContent>
          <mc:Choice Requires="wps">
            <w:drawing>
              <wp:anchor distT="0" distB="0" distL="114300" distR="114300" simplePos="0" relativeHeight="251669504" behindDoc="0" locked="0" layoutInCell="1" allowOverlap="1">
                <wp:simplePos x="0" y="0"/>
                <wp:positionH relativeFrom="column">
                  <wp:posOffset>1779905</wp:posOffset>
                </wp:positionH>
                <wp:positionV relativeFrom="paragraph">
                  <wp:posOffset>960755</wp:posOffset>
                </wp:positionV>
                <wp:extent cx="980440" cy="285750"/>
                <wp:effectExtent l="0" t="0" r="10160" b="0"/>
                <wp:wrapNone/>
                <wp:docPr id="20" name="文本框 20"/>
                <wp:cNvGraphicFramePr/>
                <a:graphic xmlns:a="http://schemas.openxmlformats.org/drawingml/2006/main">
                  <a:graphicData uri="http://schemas.microsoft.com/office/word/2010/wordprocessingShape">
                    <wps:wsp>
                      <wps:cNvSpPr txBox="1"/>
                      <wps:spPr>
                        <a:xfrm>
                          <a:off x="2827655" y="4599305"/>
                          <a:ext cx="98044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7259.83万元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15pt;margin-top:75.65pt;height:22.5pt;width:77.2pt;z-index:251669504;mso-width-relative:page;mso-height-relative:page;" fillcolor="#FFFFFF [3201]" filled="t" stroked="f" coordsize="21600,21600" o:gfxdata="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IlO58&#10;1gAAAAsBAAAPAAAAAAAAAAEAIAAAACIAAABkcnMvZG93bnJldi54bWxQSwECFAAUAAAACACHTuJA&#10;3ojkrlwCAACcBAAADgAAAAAAAAABACAAAAAlAQAAZHJzL2Uyb0RvYy54bWxQSwUGAAAAAAYABgBZ&#10;AQAA8wUAAAAA&#10;">
                <v:fill on="t" focussize="0,0"/>
                <v:stroke on="f" weight="0.5pt"/>
                <v:imagedata o:title=""/>
                <o:lock v:ext="edit" aspectratio="f"/>
                <v:textbox>
                  <w:txbxContent>
                    <w:p>
                      <w:pPr>
                        <w:rPr>
                          <w:rFonts w:hint="default" w:eastAsia="宋体"/>
                          <w:lang w:val="en-US" w:eastAsia="zh-CN"/>
                        </w:rPr>
                      </w:pPr>
                      <w:r>
                        <w:rPr>
                          <w:rFonts w:hint="eastAsia"/>
                          <w:lang w:val="en-US" w:eastAsia="zh-CN"/>
                        </w:rPr>
                        <w:t>7259.83万元</w:t>
                      </w:r>
                    </w:p>
                  </w:txbxContent>
                </v:textbox>
              </v:shape>
            </w:pict>
          </mc:Fallback>
        </mc:AlternateContent>
      </w:r>
      <w:r>
        <w:rPr>
          <w:sz w:val="30"/>
        </w:rPr>
        <mc:AlternateContent>
          <mc:Choice Requires="wps">
            <w:drawing>
              <wp:anchor distT="0" distB="0" distL="114300" distR="114300" simplePos="0" relativeHeight="251670528" behindDoc="0" locked="0" layoutInCell="1" allowOverlap="1">
                <wp:simplePos x="0" y="0"/>
                <wp:positionH relativeFrom="column">
                  <wp:posOffset>3189605</wp:posOffset>
                </wp:positionH>
                <wp:positionV relativeFrom="paragraph">
                  <wp:posOffset>160655</wp:posOffset>
                </wp:positionV>
                <wp:extent cx="980440" cy="285750"/>
                <wp:effectExtent l="0" t="0" r="10160" b="0"/>
                <wp:wrapNone/>
                <wp:docPr id="21" name="文本框 21"/>
                <wp:cNvGraphicFramePr/>
                <a:graphic xmlns:a="http://schemas.openxmlformats.org/drawingml/2006/main">
                  <a:graphicData uri="http://schemas.microsoft.com/office/word/2010/wordprocessingShape">
                    <wps:wsp>
                      <wps:cNvSpPr txBox="1"/>
                      <wps:spPr>
                        <a:xfrm>
                          <a:off x="0" y="0"/>
                          <a:ext cx="98044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7453.18万元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15pt;margin-top:12.65pt;height:22.5pt;width:77.2pt;z-index:251670528;mso-width-relative:page;mso-height-relative:page;" fillcolor="#FFFFFF [3201]" filled="t" stroked="f" coordsize="21600,21600" o:gfxdata="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HTMIC1QAAAAkBAAAPAAAAAAAA&#10;AAEAIAAAACIAAABkcnMvZG93bnJldi54bWxQSwECFAAUAAAACACHTuJAzCBemU4CAACQBAAADgAA&#10;AAAAAAABACAAAAAkAQAAZHJzL2Uyb0RvYy54bWxQSwUGAAAAAAYABgBZAQAA5AUAAAAA&#10;">
                <v:fill on="t" focussize="0,0"/>
                <v:stroke on="f" weight="0.5pt"/>
                <v:imagedata o:title=""/>
                <o:lock v:ext="edit" aspectratio="f"/>
                <v:textbox>
                  <w:txbxContent>
                    <w:p>
                      <w:pPr>
                        <w:rPr>
                          <w:rFonts w:hint="default" w:eastAsia="宋体"/>
                          <w:lang w:val="en-US" w:eastAsia="zh-CN"/>
                        </w:rPr>
                      </w:pPr>
                      <w:r>
                        <w:rPr>
                          <w:rFonts w:hint="eastAsia"/>
                          <w:lang w:val="en-US" w:eastAsia="zh-CN"/>
                        </w:rPr>
                        <w:t>7453.18万元</w:t>
                      </w:r>
                    </w:p>
                  </w:txbxContent>
                </v:textbox>
              </v:shape>
            </w:pict>
          </mc:Fallback>
        </mc:AlternateContent>
      </w:r>
      <w:r>
        <w:rPr>
          <w:rFonts w:hint="eastAsia"/>
          <w:lang w:val="en-US" w:eastAsia="zh-CN"/>
        </w:rPr>
        <w:t xml:space="preserve">           </w:t>
      </w:r>
      <w:r>
        <w:drawing>
          <wp:inline distT="0" distB="0" distL="114300" distR="114300">
            <wp:extent cx="3655060" cy="1897380"/>
            <wp:effectExtent l="4445" t="4445" r="17145" b="2222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60" w:name="_Toc15377211"/>
      <w:r>
        <w:rPr>
          <w:rFonts w:hint="eastAsia" w:ascii="仿宋" w:hAnsi="仿宋" w:eastAsia="仿宋"/>
          <w:b/>
          <w:color w:val="auto"/>
          <w:sz w:val="32"/>
          <w:szCs w:val="32"/>
          <w:highlight w:val="none"/>
        </w:rPr>
        <w:t>（二）一般公共预算财政拨款支出决算结构情况</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7259.83</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lang w:eastAsia="zh-CN"/>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6741.35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140.19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农林水支出</w:t>
      </w:r>
      <w:r>
        <w:rPr>
          <w:rFonts w:hint="eastAsia" w:ascii="仿宋" w:hAnsi="仿宋" w:eastAsia="仿宋"/>
          <w:color w:val="auto"/>
          <w:sz w:val="32"/>
          <w:szCs w:val="32"/>
          <w:highlight w:val="none"/>
          <w:lang w:val="en-US" w:eastAsia="zh-CN"/>
        </w:rPr>
        <w:t>15.46万元，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0.21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362.83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rPr>
          <w:rFonts w:ascii="仿宋" w:hAnsi="仿宋" w:eastAsia="仿宋"/>
          <w:color w:val="auto"/>
          <w:sz w:val="32"/>
          <w:szCs w:val="32"/>
          <w:highlight w:val="none"/>
        </w:rPr>
      </w:pPr>
      <w:r>
        <w:rPr>
          <w:sz w:val="30"/>
        </w:rPr>
        <mc:AlternateContent>
          <mc:Choice Requires="wps">
            <w:drawing>
              <wp:anchor distT="0" distB="0" distL="114300" distR="114300" simplePos="0" relativeHeight="251676672" behindDoc="0" locked="0" layoutInCell="1" allowOverlap="1">
                <wp:simplePos x="0" y="0"/>
                <wp:positionH relativeFrom="column">
                  <wp:posOffset>2951480</wp:posOffset>
                </wp:positionH>
                <wp:positionV relativeFrom="paragraph">
                  <wp:posOffset>67310</wp:posOffset>
                </wp:positionV>
                <wp:extent cx="914400" cy="457200"/>
                <wp:effectExtent l="0" t="0" r="0" b="0"/>
                <wp:wrapNone/>
                <wp:docPr id="26" name="文本框 26"/>
                <wp:cNvGraphicFramePr/>
                <a:graphic xmlns:a="http://schemas.openxmlformats.org/drawingml/2006/main">
                  <a:graphicData uri="http://schemas.microsoft.com/office/word/2010/wordprocessingShape">
                    <wps:wsp>
                      <wps:cNvSpPr txBox="1"/>
                      <wps:spPr>
                        <a:xfrm>
                          <a:off x="3580130" y="7454900"/>
                          <a:ext cx="914400" cy="457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362.83万元，占5.0%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4pt;margin-top:5.3pt;height:36pt;width:72pt;z-index:251676672;mso-width-relative:page;mso-height-relative:page;" filled="f" stroked="f" coordsize="21600,21600" o:gfxdata="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1IDRNkAAAAJAQAADwAAAAAAAAABACAA&#10;AAAiAAAAZHJzL2Rvd25yZXYueG1sUEsBAhQAFAAAAAgAh07iQAYvdqJFAgAAcwQAAA4AAAAAAAAA&#10;AQAgAAAAKAEAAGRycy9lMm9Eb2MueG1sUEsFBgAAAAAGAAYAWQEAAN8FAAAAAA==&#10;">
                <v:fill on="f" focussize="0,0"/>
                <v:stroke on="f" weight="0.5pt"/>
                <v:imagedata o:title=""/>
                <o:lock v:ext="edit" aspectratio="f"/>
                <v:textbox>
                  <w:txbxContent>
                    <w:p>
                      <w:pPr>
                        <w:rPr>
                          <w:rFonts w:hint="default" w:eastAsia="宋体"/>
                          <w:lang w:val="en-US" w:eastAsia="zh-CN"/>
                        </w:rPr>
                      </w:pPr>
                      <w:r>
                        <w:rPr>
                          <w:rFonts w:hint="eastAsia"/>
                          <w:lang w:val="en-US" w:eastAsia="zh-CN"/>
                        </w:rPr>
                        <w:t>362.83万元，占5.0%</w:t>
                      </w:r>
                    </w:p>
                  </w:txbxContent>
                </v:textbox>
              </v:shape>
            </w:pict>
          </mc:Fallback>
        </mc:AlternateContent>
      </w:r>
      <w:r>
        <w:rPr>
          <w:sz w:val="30"/>
        </w:rPr>
        <mc:AlternateContent>
          <mc:Choice Requires="wps">
            <w:drawing>
              <wp:anchor distT="0" distB="0" distL="114300" distR="114300" simplePos="0" relativeHeight="251677696" behindDoc="0" locked="0" layoutInCell="1" allowOverlap="1">
                <wp:simplePos x="0" y="0"/>
                <wp:positionH relativeFrom="column">
                  <wp:posOffset>2294255</wp:posOffset>
                </wp:positionH>
                <wp:positionV relativeFrom="paragraph">
                  <wp:posOffset>295910</wp:posOffset>
                </wp:positionV>
                <wp:extent cx="657225" cy="190500"/>
                <wp:effectExtent l="0" t="6350" r="9525" b="31750"/>
                <wp:wrapNone/>
                <wp:docPr id="27" name="直接箭头连接符 27"/>
                <wp:cNvGraphicFramePr/>
                <a:graphic xmlns:a="http://schemas.openxmlformats.org/drawingml/2006/main">
                  <a:graphicData uri="http://schemas.microsoft.com/office/word/2010/wordprocessingShape">
                    <wps:wsp>
                      <wps:cNvCnPr>
                        <a:stCxn id="26" idx="1"/>
                      </wps:cNvCnPr>
                      <wps:spPr>
                        <a:xfrm flipH="1">
                          <a:off x="3332480" y="7683500"/>
                          <a:ext cx="657225" cy="19050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80.65pt;margin-top:23.3pt;height:15pt;width:51.75pt;z-index:251677696;mso-width-relative:page;mso-height-relative:page;" filled="f" stroked="t" coordsize="21600,21600" o:gfxdata="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LJXStcA&#10;AAAJAQAADwAAAAAAAAABACAAAAAiAAAAZHJzL2Rvd25yZXYueG1sUEsBAhQAFAAAAAgAh07iQBeq&#10;9RggAgAACwQAAA4AAAAAAAAAAQAgAAAAJgEAAGRycy9lMm9Eb2MueG1sUEsFBgAAAAAGAAYAWQEA&#10;ALgFAAAAAA==&#10;">
                <v:fill on="f" focussize="0,0"/>
                <v:stroke weight="1pt" color="#000000 [3213]" joinstyle="round" endarrow="open"/>
                <v:imagedata o:title=""/>
                <o:lock v:ext="edit" aspectratio="f"/>
              </v:shape>
            </w:pict>
          </mc:Fallback>
        </mc:AlternateContent>
      </w:r>
      <w:r>
        <w:rPr>
          <w:sz w:val="30"/>
        </w:rPr>
        <mc:AlternateContent>
          <mc:Choice Requires="wps">
            <w:drawing>
              <wp:anchor distT="0" distB="0" distL="114300" distR="114300" simplePos="0" relativeHeight="251673600" behindDoc="0" locked="0" layoutInCell="1" allowOverlap="1">
                <wp:simplePos x="0" y="0"/>
                <wp:positionH relativeFrom="column">
                  <wp:posOffset>1779905</wp:posOffset>
                </wp:positionH>
                <wp:positionV relativeFrom="paragraph">
                  <wp:posOffset>486410</wp:posOffset>
                </wp:positionV>
                <wp:extent cx="333375" cy="676275"/>
                <wp:effectExtent l="5715" t="0" r="22860" b="9525"/>
                <wp:wrapNone/>
                <wp:docPr id="23" name="直接箭头连接符 23"/>
                <wp:cNvGraphicFramePr/>
                <a:graphic xmlns:a="http://schemas.openxmlformats.org/drawingml/2006/main">
                  <a:graphicData uri="http://schemas.microsoft.com/office/word/2010/wordprocessingShape">
                    <wps:wsp>
                      <wps:cNvCnPr/>
                      <wps:spPr>
                        <a:xfrm flipV="1">
                          <a:off x="2837180" y="7731125"/>
                          <a:ext cx="333375" cy="676275"/>
                        </a:xfrm>
                        <a:prstGeom prst="straightConnector1">
                          <a:avLst/>
                        </a:prstGeom>
                        <a:ln w="12700" cmpd="sng">
                          <a:solidFill>
                            <a:schemeClr val="tx1"/>
                          </a:solidFill>
                          <a:prstDash val="solid"/>
                          <a:tailEnd type="arrow" w="med" len="me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140.15pt;margin-top:38.3pt;height:53.25pt;width:26.25pt;z-index:251673600;mso-width-relative:page;mso-height-relative:page;" filled="f" stroked="t" coordsize="21600,21600" o:gfxdata="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hl0lHXAAAACgEAAA8AAAAAAAAAAQAgAAAA&#10;IgAAAGRycy9kb3ducmV2LnhtbFBLAQIUABQAAAAIAIdO4kCOKRPgDAIAAOADAAAOAAAAAAAAAAEA&#10;IAAAACYBAABkcnMvZTJvRG9jLnhtbFBLBQYAAAAABgAGAFkBAACkBQAAAAA=&#10;">
                <v:fill on="f" focussize="0,0"/>
                <v:stroke weight="1pt" color="#000000 [3213]" joinstyle="round" endarrow="open"/>
                <v:imagedata o:title=""/>
                <o:lock v:ext="edit" aspectratio="f"/>
              </v:shape>
            </w:pict>
          </mc:Fallback>
        </mc:AlternateContent>
      </w:r>
      <w:r>
        <w:rPr>
          <w:sz w:val="30"/>
        </w:rPr>
        <mc:AlternateContent>
          <mc:Choice Requires="wps">
            <w:drawing>
              <wp:anchor distT="0" distB="0" distL="114300" distR="114300" simplePos="0" relativeHeight="251675648" behindDoc="0" locked="0" layoutInCell="1" allowOverlap="1">
                <wp:simplePos x="0" y="0"/>
                <wp:positionH relativeFrom="column">
                  <wp:posOffset>1656080</wp:posOffset>
                </wp:positionH>
                <wp:positionV relativeFrom="paragraph">
                  <wp:posOffset>400685</wp:posOffset>
                </wp:positionV>
                <wp:extent cx="504825" cy="0"/>
                <wp:effectExtent l="0" t="50800" r="9525" b="63500"/>
                <wp:wrapNone/>
                <wp:docPr id="25" name="直接箭头连接符 25"/>
                <wp:cNvGraphicFramePr/>
                <a:graphic xmlns:a="http://schemas.openxmlformats.org/drawingml/2006/main">
                  <a:graphicData uri="http://schemas.microsoft.com/office/word/2010/wordprocessingShape">
                    <wps:wsp>
                      <wps:cNvCnPr/>
                      <wps:spPr>
                        <a:xfrm>
                          <a:off x="2713355" y="7635875"/>
                          <a:ext cx="504825" cy="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30.4pt;margin-top:31.55pt;height:0pt;width:39.75pt;z-index:251675648;mso-width-relative:page;mso-height-relative:page;" filled="f" stroked="t" coordsize="21600,21600" o:gfxdata="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6u/CNgAAAAJAQAADwAAAAAAAAABACAAAAAiAAAA&#10;ZHJzL2Rvd25yZXYueG1sUEsBAhQAFAAAAAgAh07iQFJW8C8HAgAA1QMAAA4AAAAAAAAAAQAgAAAA&#10;JwEAAGRycy9lMm9Eb2MueG1sUEsFBgAAAAAGAAYAWQEAAKAFAAAAAA==&#10;">
                <v:fill on="f" focussize="0,0"/>
                <v:stroke weight="1pt" color="#000000 [3213]" joinstyle="round" endarrow="open"/>
                <v:imagedata o:title=""/>
                <o:lock v:ext="edit" aspectratio="f"/>
              </v:shape>
            </w:pict>
          </mc:Fallback>
        </mc:AlternateContent>
      </w:r>
      <w:r>
        <w:rPr>
          <w:sz w:val="30"/>
        </w:rPr>
        <mc:AlternateContent>
          <mc:Choice Requires="wps">
            <w:drawing>
              <wp:anchor distT="0" distB="0" distL="114300" distR="114300" simplePos="0" relativeHeight="251674624" behindDoc="0" locked="0" layoutInCell="1" allowOverlap="1">
                <wp:simplePos x="0" y="0"/>
                <wp:positionH relativeFrom="column">
                  <wp:posOffset>1008380</wp:posOffset>
                </wp:positionH>
                <wp:positionV relativeFrom="paragraph">
                  <wp:posOffset>105410</wp:posOffset>
                </wp:positionV>
                <wp:extent cx="885825" cy="513715"/>
                <wp:effectExtent l="0" t="0" r="0" b="0"/>
                <wp:wrapNone/>
                <wp:docPr id="24" name="文本框 24"/>
                <wp:cNvGraphicFramePr/>
                <a:graphic xmlns:a="http://schemas.openxmlformats.org/drawingml/2006/main">
                  <a:graphicData uri="http://schemas.microsoft.com/office/word/2010/wordprocessingShape">
                    <wps:wsp>
                      <wps:cNvSpPr txBox="1"/>
                      <wps:spPr>
                        <a:xfrm>
                          <a:off x="2218055" y="7378700"/>
                          <a:ext cx="885825" cy="513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15.46万元，占0.21%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4pt;margin-top:8.3pt;height:40.45pt;width:69.75pt;z-index:251674624;mso-width-relative:page;mso-height-relative:page;" filled="f" stroked="f" coordsize="21600,21600" o:gfxdata="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F5BLC2gAAAAkBAAAPAAAAAAAA&#10;AAEAIAAAACIAAABkcnMvZG93bnJldi54bWxQSwECFAAUAAAACACHTuJAL16HpUkCAABzBAAADgAA&#10;AAAAAAABACAAAAApAQAAZHJzL2Uyb0RvYy54bWxQSwUGAAAAAAYABgBZAQAA5AUAAAAA&#10;">
                <v:fill on="f" focussize="0,0"/>
                <v:stroke on="f" weight="0.5pt"/>
                <v:imagedata o:title=""/>
                <o:lock v:ext="edit" aspectratio="f"/>
                <v:textbox>
                  <w:txbxContent>
                    <w:p>
                      <w:pPr>
                        <w:rPr>
                          <w:rFonts w:hint="default" w:eastAsia="宋体"/>
                          <w:lang w:val="en-US" w:eastAsia="zh-CN"/>
                        </w:rPr>
                      </w:pPr>
                      <w:r>
                        <w:rPr>
                          <w:rFonts w:hint="eastAsia"/>
                          <w:lang w:val="en-US" w:eastAsia="zh-CN"/>
                        </w:rPr>
                        <w:t>15.46万元，占0.21%</w:t>
                      </w:r>
                    </w:p>
                  </w:txbxContent>
                </v:textbox>
              </v:shape>
            </w:pict>
          </mc:Fallback>
        </mc:AlternateContent>
      </w:r>
      <w:r>
        <w:rPr>
          <w:sz w:val="30"/>
        </w:rPr>
        <mc:AlternateContent>
          <mc:Choice Requires="wps">
            <w:drawing>
              <wp:anchor distT="0" distB="0" distL="114300" distR="114300" simplePos="0" relativeHeight="251672576" behindDoc="0" locked="0" layoutInCell="1" allowOverlap="1">
                <wp:simplePos x="0" y="0"/>
                <wp:positionH relativeFrom="column">
                  <wp:posOffset>1056005</wp:posOffset>
                </wp:positionH>
                <wp:positionV relativeFrom="paragraph">
                  <wp:posOffset>1086485</wp:posOffset>
                </wp:positionV>
                <wp:extent cx="932815" cy="495300"/>
                <wp:effectExtent l="0" t="0" r="635" b="0"/>
                <wp:wrapNone/>
                <wp:docPr id="22" name="文本框 22"/>
                <wp:cNvGraphicFramePr/>
                <a:graphic xmlns:a="http://schemas.openxmlformats.org/drawingml/2006/main">
                  <a:graphicData uri="http://schemas.microsoft.com/office/word/2010/wordprocessingShape">
                    <wps:wsp>
                      <wps:cNvSpPr txBox="1"/>
                      <wps:spPr>
                        <a:xfrm>
                          <a:off x="2294255" y="7416800"/>
                          <a:ext cx="932815" cy="495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140.19万元，占1.93%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15pt;margin-top:85.55pt;height:39pt;width:73.45pt;z-index:251672576;mso-width-relative:page;mso-height-relative:page;" filled="f" stroked="f" coordsize="21600,21600" o:gfxdata="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sHqY3cAAAACwEAAA8AAAAA&#10;AAAAAQAgAAAAIgAAAGRycy9kb3ducmV2LnhtbFBLAQIUABQAAAAIAIdO4kAfjx2RSQIAAHMEAAAO&#10;AAAAAAAAAAEAIAAAACsBAABkcnMvZTJvRG9jLnhtbFBLBQYAAAAABgAGAFkBAADmBQAAAAA=&#10;">
                <v:fill on="f" focussize="0,0"/>
                <v:stroke on="f" weight="0.5pt"/>
                <v:imagedata o:title=""/>
                <o:lock v:ext="edit" aspectratio="f"/>
                <v:textbox>
                  <w:txbxContent>
                    <w:p>
                      <w:pPr>
                        <w:rPr>
                          <w:rFonts w:hint="default" w:eastAsia="宋体"/>
                          <w:lang w:val="en-US" w:eastAsia="zh-CN"/>
                        </w:rPr>
                      </w:pPr>
                      <w:r>
                        <w:rPr>
                          <w:rFonts w:hint="eastAsia"/>
                          <w:lang w:val="en-US" w:eastAsia="zh-CN"/>
                        </w:rPr>
                        <w:t>140.19万元，占1.93%</w:t>
                      </w:r>
                    </w:p>
                  </w:txbxContent>
                </v:textbox>
              </v:shape>
            </w:pict>
          </mc:Fallback>
        </mc:AlternateContent>
      </w:r>
      <w:r>
        <w:rPr>
          <w:sz w:val="30"/>
        </w:rPr>
        <mc:AlternateContent>
          <mc:Choice Requires="wps">
            <w:drawing>
              <wp:anchor distT="0" distB="0" distL="114300" distR="114300" simplePos="0" relativeHeight="251671552" behindDoc="0" locked="0" layoutInCell="1" allowOverlap="1">
                <wp:simplePos x="0" y="0"/>
                <wp:positionH relativeFrom="column">
                  <wp:posOffset>1970405</wp:posOffset>
                </wp:positionH>
                <wp:positionV relativeFrom="paragraph">
                  <wp:posOffset>1229360</wp:posOffset>
                </wp:positionV>
                <wp:extent cx="1010920" cy="485140"/>
                <wp:effectExtent l="0" t="0" r="0" b="0"/>
                <wp:wrapNone/>
                <wp:docPr id="16" name="文本框 16"/>
                <wp:cNvGraphicFramePr/>
                <a:graphic xmlns:a="http://schemas.openxmlformats.org/drawingml/2006/main">
                  <a:graphicData uri="http://schemas.microsoft.com/office/word/2010/wordprocessingShape">
                    <wps:wsp>
                      <wps:cNvSpPr txBox="1"/>
                      <wps:spPr>
                        <a:xfrm>
                          <a:off x="2303780" y="7426325"/>
                          <a:ext cx="1010920" cy="485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6741.35万元，占92.86%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15pt;margin-top:96.8pt;height:38.2pt;width:79.6pt;z-index:251671552;mso-width-relative:page;mso-height-relative:page;" filled="f" stroked="f" coordsize="21600,21600" o:gfxdata="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IQNtg3AAAAAsBAAAPAAAAAAAA&#10;AAEAIAAAACIAAABkcnMvZG93bnJldi54bWxQSwECFAAUAAAACACHTuJAXt3Nm0cCAAB0BAAADgAA&#10;AAAAAAABACAAAAArAQAAZHJzL2Uyb0RvYy54bWxQSwUGAAAAAAYABgBZAQAA5AUAAAAA&#10;">
                <v:fill on="f" focussize="0,0"/>
                <v:stroke on="f" weight="0.5pt"/>
                <v:imagedata o:title=""/>
                <o:lock v:ext="edit" aspectratio="f"/>
                <v:textbox>
                  <w:txbxContent>
                    <w:p>
                      <w:pPr>
                        <w:rPr>
                          <w:rFonts w:hint="default" w:eastAsia="宋体"/>
                          <w:lang w:val="en-US" w:eastAsia="zh-CN"/>
                        </w:rPr>
                      </w:pPr>
                      <w:r>
                        <w:rPr>
                          <w:rFonts w:hint="eastAsia"/>
                          <w:lang w:val="en-US" w:eastAsia="zh-CN"/>
                        </w:rPr>
                        <w:t>6741.35万元，占92.86%</w:t>
                      </w:r>
                    </w:p>
                  </w:txbxContent>
                </v:textbox>
              </v:shape>
            </w:pict>
          </mc:Fallback>
        </mc:AlternateContent>
      </w:r>
      <w:r>
        <w:rPr>
          <w:rFonts w:hint="eastAsia"/>
          <w:lang w:val="en-US" w:eastAsia="zh-CN"/>
        </w:rPr>
        <w:t xml:space="preserve">      </w:t>
      </w:r>
      <w:r>
        <w:drawing>
          <wp:inline distT="0" distB="0" distL="114300" distR="114300">
            <wp:extent cx="3988435" cy="2000885"/>
            <wp:effectExtent l="0" t="0" r="12065" b="1841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3"/>
                    <a:stretch>
                      <a:fillRect/>
                    </a:stretch>
                  </pic:blipFill>
                  <pic:spPr>
                    <a:xfrm>
                      <a:off x="0" y="0"/>
                      <a:ext cx="3988435" cy="2000885"/>
                    </a:xfrm>
                    <a:prstGeom prst="rect">
                      <a:avLst/>
                    </a:prstGeom>
                    <a:noFill/>
                    <a:ln>
                      <a:noFill/>
                    </a:ln>
                  </pic:spPr>
                </pic:pic>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61" w:name="_Toc15377212"/>
      <w:r>
        <w:rPr>
          <w:rFonts w:hint="eastAsia" w:ascii="仿宋" w:hAnsi="仿宋" w:eastAsia="仿宋"/>
          <w:b/>
          <w:color w:val="auto"/>
          <w:sz w:val="32"/>
          <w:szCs w:val="32"/>
          <w:highlight w:val="none"/>
        </w:rPr>
        <w:t>（三）一般公共预算财政拨款支出决算具体情况</w:t>
      </w:r>
      <w:bookmarkEnd w:id="61"/>
    </w:p>
    <w:p>
      <w:pPr>
        <w:spacing w:line="600" w:lineRule="exact"/>
        <w:ind w:firstLine="643" w:firstLineChars="200"/>
        <w:outlineLvl w:val="2"/>
        <w:rPr>
          <w:rStyle w:val="18"/>
          <w:rFonts w:hint="eastAsia" w:ascii="仿宋" w:hAnsi="仿宋" w:eastAsia="仿宋"/>
          <w:bCs/>
          <w:color w:val="auto"/>
          <w:sz w:val="32"/>
          <w:szCs w:val="32"/>
          <w:highlight w:val="none"/>
        </w:rPr>
      </w:pPr>
      <w:bookmarkStart w:id="62" w:name="_Toc15377213"/>
      <w:bookmarkStart w:id="63" w:name="_Toc15378460"/>
      <w:bookmarkStart w:id="64"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7259.83万元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98.52</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62"/>
      <w:bookmarkEnd w:id="63"/>
      <w:bookmarkEnd w:id="64"/>
    </w:p>
    <w:p>
      <w:pPr>
        <w:numPr>
          <w:ilvl w:val="0"/>
          <w:numId w:val="0"/>
        </w:numPr>
        <w:spacing w:line="600" w:lineRule="exact"/>
        <w:ind w:firstLine="643" w:firstLineChars="200"/>
        <w:rPr>
          <w:rStyle w:val="18"/>
          <w:rFonts w:hint="default" w:ascii="仿宋" w:hAnsi="仿宋" w:eastAsia="仿宋"/>
          <w:b w:val="0"/>
          <w:bCs/>
          <w:color w:val="000000"/>
          <w:sz w:val="32"/>
          <w:szCs w:val="32"/>
          <w:lang w:val="en-US" w:eastAsia="zh-CN"/>
        </w:rPr>
      </w:pPr>
      <w:r>
        <w:rPr>
          <w:rStyle w:val="18"/>
          <w:rFonts w:hint="eastAsia" w:ascii="仿宋" w:hAnsi="仿宋" w:eastAsia="仿宋"/>
          <w:bCs/>
          <w:color w:val="000000"/>
          <w:sz w:val="32"/>
          <w:szCs w:val="32"/>
          <w:lang w:val="en-US" w:eastAsia="zh-CN"/>
        </w:rPr>
        <w:t>1.</w:t>
      </w:r>
      <w:r>
        <w:rPr>
          <w:rStyle w:val="18"/>
          <w:rFonts w:hint="eastAsia" w:ascii="仿宋" w:hAnsi="仿宋" w:eastAsia="仿宋"/>
          <w:bCs/>
          <w:color w:val="000000"/>
          <w:sz w:val="32"/>
          <w:szCs w:val="32"/>
        </w:rPr>
        <w:t>社会保障和就业支出（类）人力资源和社会保障管理事务（款）行政运行（项）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1386.11</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98.70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决算数小于预算数的主要原因是机关代扣的住房公积金和保险提标部分未支付，将结转至下一年。</w:t>
      </w:r>
    </w:p>
    <w:p>
      <w:pPr>
        <w:numPr>
          <w:ilvl w:val="0"/>
          <w:numId w:val="0"/>
        </w:numPr>
        <w:spacing w:line="600" w:lineRule="exact"/>
        <w:ind w:firstLine="643" w:firstLineChars="200"/>
        <w:rPr>
          <w:rStyle w:val="18"/>
          <w:rFonts w:hint="eastAsia" w:ascii="仿宋" w:hAnsi="仿宋" w:eastAsia="仿宋"/>
          <w:b w:val="0"/>
          <w:bCs/>
          <w:color w:val="000000"/>
          <w:sz w:val="32"/>
          <w:szCs w:val="32"/>
        </w:rPr>
      </w:pPr>
      <w:r>
        <w:rPr>
          <w:rStyle w:val="18"/>
          <w:rFonts w:hint="eastAsia" w:ascii="仿宋" w:hAnsi="仿宋" w:eastAsia="仿宋"/>
          <w:bCs/>
          <w:color w:val="000000"/>
          <w:sz w:val="32"/>
          <w:szCs w:val="32"/>
          <w:lang w:val="en-US" w:eastAsia="zh-CN"/>
        </w:rPr>
        <w:t>2</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社会保障和就业支出（类）人力资源和社会保障管理事务（款）一般行政管理事务（项）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341.65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Style w:val="18"/>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Fonts w:hint="default" w:eastAsia="仿宋"/>
          <w:lang w:val="en-US" w:eastAsia="zh-CN"/>
        </w:rPr>
      </w:pPr>
      <w:r>
        <w:rPr>
          <w:rStyle w:val="18"/>
          <w:rFonts w:hint="eastAsia" w:ascii="仿宋" w:hAnsi="仿宋" w:eastAsia="仿宋"/>
          <w:bCs/>
          <w:color w:val="000000"/>
          <w:sz w:val="32"/>
          <w:szCs w:val="32"/>
          <w:lang w:val="en-US" w:eastAsia="zh-CN"/>
        </w:rPr>
        <w:t>3</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w:t>
      </w:r>
      <w:r>
        <w:rPr>
          <w:rStyle w:val="18"/>
          <w:rFonts w:hint="eastAsia" w:ascii="仿宋" w:hAnsi="仿宋" w:eastAsia="仿宋"/>
          <w:bCs/>
          <w:color w:val="000000"/>
          <w:sz w:val="32"/>
          <w:szCs w:val="32"/>
          <w:lang w:val="en-US" w:eastAsia="zh-CN"/>
        </w:rPr>
        <w:t>综合业务管理</w:t>
      </w:r>
      <w:r>
        <w:rPr>
          <w:rStyle w:val="18"/>
          <w:rFonts w:hint="eastAsia" w:ascii="仿宋" w:hAnsi="仿宋" w:eastAsia="仿宋"/>
          <w:bCs/>
          <w:color w:val="000000"/>
          <w:sz w:val="32"/>
          <w:szCs w:val="32"/>
        </w:rPr>
        <w:t>（项）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136.33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91.97</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决算数小于预算数的主要原因是市农民工服务中心代扣的住房公积金和保险提标部分未支付，将结转至下一年。</w:t>
      </w:r>
    </w:p>
    <w:p>
      <w:pPr>
        <w:numPr>
          <w:ilvl w:val="0"/>
          <w:numId w:val="0"/>
        </w:numPr>
        <w:spacing w:line="600"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lang w:val="en-US" w:eastAsia="zh-CN"/>
        </w:rPr>
        <w:t>4</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社会保障和就业支出（类）人力资源和社会保障管理事务（款）就业管理事务（项）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538.73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97.07</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auto"/>
          <w:sz w:val="32"/>
          <w:szCs w:val="32"/>
          <w:highlight w:val="none"/>
          <w:lang w:val="en-US" w:eastAsia="zh-CN"/>
        </w:rPr>
        <w:t>决算数小于预算数的主要原因是市就业创业中心代扣的住房公积金和保险提标部分未支付，将结转至下一年。</w:t>
      </w:r>
    </w:p>
    <w:p>
      <w:pPr>
        <w:spacing w:line="600"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lang w:val="en-US" w:eastAsia="zh-CN"/>
        </w:rPr>
        <w:t>5</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社会保障和就业支出（类）人力资源和社会保障管理事务（款）社会保险业务管理事务（项）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158.86</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w:t>
      </w:r>
      <w:r>
        <w:rPr>
          <w:rStyle w:val="18"/>
          <w:rFonts w:hint="eastAsia" w:ascii="仿宋" w:hAnsi="仿宋" w:eastAsia="仿宋"/>
          <w:b w:val="0"/>
          <w:bCs/>
          <w:color w:val="000000"/>
          <w:sz w:val="32"/>
          <w:szCs w:val="32"/>
          <w:lang w:val="en-US" w:eastAsia="zh-CN"/>
        </w:rPr>
        <w:t>等于</w:t>
      </w:r>
      <w:r>
        <w:rPr>
          <w:rStyle w:val="18"/>
          <w:rFonts w:hint="eastAsia" w:ascii="仿宋" w:hAnsi="仿宋" w:eastAsia="仿宋"/>
          <w:b w:val="0"/>
          <w:bCs/>
          <w:color w:val="000000"/>
          <w:sz w:val="32"/>
          <w:szCs w:val="32"/>
        </w:rPr>
        <w:t>预算数。</w:t>
      </w:r>
    </w:p>
    <w:p>
      <w:pPr>
        <w:spacing w:line="600"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lang w:val="en-US" w:eastAsia="zh-CN"/>
        </w:rPr>
        <w:t>6</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社会保障和就业支出（类）人力资源和社会保障管理事务（款）信息化建设（项）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466.22</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val="en-US" w:eastAsia="zh-CN"/>
        </w:rPr>
        <w:t>等于</w:t>
      </w:r>
      <w:r>
        <w:rPr>
          <w:rStyle w:val="18"/>
          <w:rFonts w:hint="eastAsia" w:ascii="仿宋" w:hAnsi="仿宋" w:eastAsia="仿宋"/>
          <w:b w:val="0"/>
          <w:bCs/>
          <w:color w:val="000000"/>
          <w:sz w:val="32"/>
          <w:szCs w:val="32"/>
        </w:rPr>
        <w:t>预算数。</w:t>
      </w:r>
    </w:p>
    <w:p>
      <w:pPr>
        <w:spacing w:line="600" w:lineRule="exact"/>
        <w:ind w:firstLine="643" w:firstLineChars="200"/>
        <w:rPr>
          <w:rStyle w:val="18"/>
          <w:rFonts w:hint="eastAsia" w:ascii="仿宋" w:hAnsi="仿宋" w:eastAsia="仿宋"/>
          <w:b w:val="0"/>
          <w:bCs/>
          <w:color w:val="auto"/>
          <w:sz w:val="32"/>
          <w:szCs w:val="32"/>
          <w:highlight w:val="none"/>
          <w:lang w:val="en-US" w:eastAsia="zh-CN"/>
        </w:rPr>
      </w:pPr>
      <w:r>
        <w:rPr>
          <w:rStyle w:val="18"/>
          <w:rFonts w:hint="eastAsia" w:ascii="仿宋" w:hAnsi="仿宋" w:eastAsia="仿宋"/>
          <w:bCs/>
          <w:color w:val="000000"/>
          <w:sz w:val="32"/>
          <w:szCs w:val="32"/>
          <w:lang w:val="en-US" w:eastAsia="zh-CN"/>
        </w:rPr>
        <w:t>7</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社会保障和就业支出（类）人力资源和社会保障管理事务（款）社会保险经办机构（项）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1842.66</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98.18</w:t>
      </w:r>
      <w:r>
        <w:rPr>
          <w:rStyle w:val="18"/>
          <w:rFonts w:ascii="仿宋" w:hAnsi="仿宋" w:eastAsia="仿宋"/>
          <w:b w:val="0"/>
          <w:bCs/>
          <w:sz w:val="32"/>
          <w:szCs w:val="32"/>
        </w:rPr>
        <w:t>%</w:t>
      </w:r>
      <w:r>
        <w:rPr>
          <w:rStyle w:val="18"/>
          <w:rFonts w:hint="eastAsia" w:ascii="仿宋" w:hAnsi="仿宋" w:eastAsia="仿宋"/>
          <w:b w:val="0"/>
          <w:bCs/>
          <w:sz w:val="32"/>
          <w:szCs w:val="32"/>
        </w:rPr>
        <w:t>，决算数小于预算数的</w:t>
      </w:r>
      <w:r>
        <w:rPr>
          <w:rStyle w:val="18"/>
          <w:rFonts w:hint="eastAsia" w:ascii="仿宋" w:hAnsi="仿宋" w:eastAsia="仿宋"/>
          <w:b w:val="0"/>
          <w:bCs/>
          <w:sz w:val="32"/>
          <w:szCs w:val="32"/>
          <w:lang w:val="en-US" w:eastAsia="zh-CN"/>
        </w:rPr>
        <w:t>主要原</w:t>
      </w:r>
      <w:r>
        <w:rPr>
          <w:rStyle w:val="18"/>
          <w:rFonts w:hint="eastAsia" w:ascii="仿宋" w:hAnsi="仿宋" w:eastAsia="仿宋"/>
          <w:b w:val="0"/>
          <w:bCs/>
          <w:sz w:val="32"/>
          <w:szCs w:val="32"/>
        </w:rPr>
        <w:t>因是</w:t>
      </w:r>
      <w:r>
        <w:rPr>
          <w:rStyle w:val="18"/>
          <w:rFonts w:hint="eastAsia" w:ascii="仿宋" w:hAnsi="仿宋" w:eastAsia="仿宋"/>
          <w:b w:val="0"/>
          <w:bCs/>
          <w:color w:val="auto"/>
          <w:sz w:val="32"/>
          <w:szCs w:val="32"/>
          <w:highlight w:val="none"/>
          <w:lang w:val="en-US" w:eastAsia="zh-CN"/>
        </w:rPr>
        <w:t>市社会保险事务中心代扣的住房公积金和保险提标部分未支付，将结转至下一年。</w:t>
      </w:r>
    </w:p>
    <w:p>
      <w:pPr>
        <w:spacing w:line="600"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lang w:val="en-US" w:eastAsia="zh-CN"/>
        </w:rPr>
        <w:t>8</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社会保障和就业支出（类）人力资源和社会保障管理事务（款）劳动关系和维权（项）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72.25</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val="en-US" w:eastAsia="zh-CN"/>
        </w:rPr>
        <w:t>等于</w:t>
      </w:r>
      <w:r>
        <w:rPr>
          <w:rStyle w:val="18"/>
          <w:rFonts w:hint="eastAsia" w:ascii="仿宋" w:hAnsi="仿宋" w:eastAsia="仿宋"/>
          <w:b w:val="0"/>
          <w:bCs/>
          <w:color w:val="000000"/>
          <w:sz w:val="32"/>
          <w:szCs w:val="32"/>
        </w:rPr>
        <w:t>预算数。</w:t>
      </w:r>
    </w:p>
    <w:p>
      <w:pPr>
        <w:spacing w:line="600"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lang w:val="en-US" w:eastAsia="zh-CN"/>
        </w:rPr>
        <w:t>9</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社会保障和就业支出（类）人力资源和社会保障管理事务（款）劳动人事争议和</w:t>
      </w:r>
      <w:r>
        <w:rPr>
          <w:rStyle w:val="18"/>
          <w:rFonts w:hint="eastAsia" w:ascii="仿宋" w:hAnsi="仿宋" w:eastAsia="仿宋"/>
          <w:bCs/>
          <w:color w:val="000000"/>
          <w:sz w:val="32"/>
          <w:szCs w:val="32"/>
          <w:lang w:eastAsia="zh-CN"/>
        </w:rPr>
        <w:t>调解</w:t>
      </w:r>
      <w:r>
        <w:rPr>
          <w:rStyle w:val="18"/>
          <w:rFonts w:hint="eastAsia" w:ascii="仿宋" w:hAnsi="仿宋" w:eastAsia="仿宋"/>
          <w:bCs/>
          <w:color w:val="000000"/>
          <w:sz w:val="32"/>
          <w:szCs w:val="32"/>
        </w:rPr>
        <w:t>仲裁（项）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231.68</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99.93</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w:t>
      </w:r>
      <w:r>
        <w:rPr>
          <w:rStyle w:val="18"/>
          <w:rFonts w:hint="eastAsia" w:ascii="仿宋" w:hAnsi="仿宋" w:eastAsia="仿宋"/>
          <w:b w:val="0"/>
          <w:bCs/>
          <w:color w:val="000000"/>
          <w:sz w:val="32"/>
          <w:szCs w:val="32"/>
          <w:lang w:val="en-US" w:eastAsia="zh-CN"/>
        </w:rPr>
        <w:t>零星收支差异所致</w:t>
      </w:r>
      <w:r>
        <w:rPr>
          <w:rStyle w:val="18"/>
          <w:rFonts w:hint="eastAsia" w:ascii="仿宋" w:hAnsi="仿宋" w:eastAsia="仿宋"/>
          <w:b w:val="0"/>
          <w:bCs/>
          <w:color w:val="000000"/>
          <w:sz w:val="32"/>
          <w:szCs w:val="32"/>
        </w:rPr>
        <w:t>。</w:t>
      </w:r>
    </w:p>
    <w:p>
      <w:pPr>
        <w:spacing w:line="600"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0</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w:t>
      </w:r>
      <w:r>
        <w:rPr>
          <w:rStyle w:val="18"/>
          <w:rFonts w:hint="eastAsia" w:ascii="仿宋" w:hAnsi="仿宋" w:eastAsia="仿宋"/>
          <w:bCs/>
          <w:color w:val="000000"/>
          <w:sz w:val="32"/>
          <w:szCs w:val="32"/>
          <w:lang w:val="en-US" w:eastAsia="zh-CN"/>
        </w:rPr>
        <w:t>政府特殊津贴</w:t>
      </w:r>
      <w:r>
        <w:rPr>
          <w:rStyle w:val="18"/>
          <w:rFonts w:hint="eastAsia" w:ascii="仿宋" w:hAnsi="仿宋" w:eastAsia="仿宋"/>
          <w:bCs/>
          <w:color w:val="000000"/>
          <w:sz w:val="32"/>
          <w:szCs w:val="32"/>
        </w:rPr>
        <w:t>（项）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50.76</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3" w:firstLineChars="200"/>
        <w:rPr>
          <w:rStyle w:val="18"/>
          <w:rFonts w:hint="eastAsia" w:ascii="仿宋" w:hAnsi="仿宋" w:eastAsia="仿宋"/>
          <w:b w:val="0"/>
          <w:bCs/>
          <w:color w:val="auto"/>
          <w:sz w:val="32"/>
          <w:szCs w:val="32"/>
          <w:highlight w:val="none"/>
          <w:lang w:val="en-US" w:eastAsia="zh-CN"/>
        </w:rPr>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1</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社会保障和就业支出（类）人力资源和社会保障管理事务（款）事业运行（项）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710.15</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96.20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，决算数小于预算数的原因是市人事考试中心</w:t>
      </w:r>
      <w:r>
        <w:rPr>
          <w:rStyle w:val="18"/>
          <w:rFonts w:hint="eastAsia" w:ascii="仿宋" w:hAnsi="仿宋" w:eastAsia="仿宋"/>
          <w:b w:val="0"/>
          <w:bCs/>
          <w:color w:val="auto"/>
          <w:sz w:val="32"/>
          <w:szCs w:val="32"/>
          <w:highlight w:val="none"/>
          <w:lang w:val="en-US" w:eastAsia="zh-CN"/>
        </w:rPr>
        <w:t>代扣的住房公积金和保险提标部分未支付，将结转至下一年。</w:t>
      </w:r>
    </w:p>
    <w:p>
      <w:pPr>
        <w:pStyle w:val="12"/>
        <w:spacing w:line="576" w:lineRule="exact"/>
        <w:ind w:firstLine="643" w:firstLineChars="200"/>
        <w:rPr>
          <w:rStyle w:val="18"/>
          <w:rFonts w:hint="eastAsia" w:ascii="仿宋" w:hAnsi="仿宋" w:eastAsia="仿宋"/>
          <w:b w:val="0"/>
          <w:bCs/>
          <w:color w:val="000000"/>
          <w:sz w:val="32"/>
          <w:szCs w:val="32"/>
          <w:lang w:eastAsia="zh-CN"/>
        </w:rPr>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2</w:t>
      </w:r>
      <w:r>
        <w:rPr>
          <w:rStyle w:val="18"/>
          <w:rFonts w:hint="eastAsia" w:ascii="仿宋" w:hAnsi="仿宋" w:eastAsia="仿宋"/>
          <w:bCs/>
          <w:color w:val="000000"/>
          <w:sz w:val="32"/>
          <w:szCs w:val="32"/>
        </w:rPr>
        <w:t>.社会保障和就业支出（类）人力资源和社会保障管理事务（款）其他人力资源和社会保障管理事务支出（项）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156.91</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val="en-US" w:eastAsia="zh-CN"/>
        </w:rPr>
        <w:t>等于</w:t>
      </w:r>
      <w:r>
        <w:rPr>
          <w:rStyle w:val="18"/>
          <w:rFonts w:hint="eastAsia" w:ascii="仿宋" w:hAnsi="仿宋" w:eastAsia="仿宋"/>
          <w:b w:val="0"/>
          <w:bCs/>
          <w:color w:val="000000"/>
          <w:sz w:val="32"/>
          <w:szCs w:val="32"/>
        </w:rPr>
        <w:t>预算数</w:t>
      </w:r>
      <w:r>
        <w:rPr>
          <w:rStyle w:val="18"/>
          <w:rFonts w:hint="eastAsia" w:ascii="仿宋" w:hAnsi="仿宋" w:eastAsia="仿宋"/>
          <w:b w:val="0"/>
          <w:bCs/>
          <w:color w:val="000000"/>
          <w:sz w:val="32"/>
          <w:szCs w:val="32"/>
          <w:lang w:eastAsia="zh-CN"/>
        </w:rPr>
        <w:t>。</w:t>
      </w:r>
    </w:p>
    <w:p>
      <w:pPr>
        <w:pStyle w:val="12"/>
        <w:spacing w:line="576" w:lineRule="exact"/>
        <w:ind w:firstLine="643" w:firstLineChars="200"/>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3</w:t>
      </w:r>
      <w:r>
        <w:rPr>
          <w:rStyle w:val="18"/>
          <w:rFonts w:ascii="仿宋" w:hAnsi="仿宋" w:eastAsia="仿宋"/>
          <w:bCs/>
          <w:color w:val="000000"/>
          <w:sz w:val="32"/>
          <w:szCs w:val="32"/>
        </w:rPr>
        <w:t>.</w:t>
      </w:r>
      <w:r>
        <w:rPr>
          <w:rStyle w:val="2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社会保障和就业支出（类）行政事业单位养老支出（款）行政单位离退休（项）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0.3</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0.3</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576"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4</w:t>
      </w:r>
      <w:r>
        <w:rPr>
          <w:rStyle w:val="18"/>
          <w:rFonts w:ascii="仿宋" w:hAnsi="仿宋" w:eastAsia="仿宋"/>
          <w:bCs/>
          <w:color w:val="000000"/>
          <w:sz w:val="32"/>
          <w:szCs w:val="32"/>
        </w:rPr>
        <w:t>.</w:t>
      </w:r>
      <w:r>
        <w:rPr>
          <w:rStyle w:val="2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社会保障和就业支出（类）行政事业单位养老支出（款）机关事业单位基本养老保险缴费支出（项）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278.33</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576"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5</w:t>
      </w:r>
      <w:r>
        <w:rPr>
          <w:rStyle w:val="18"/>
          <w:rFonts w:ascii="仿宋" w:hAnsi="仿宋" w:eastAsia="仿宋"/>
          <w:bCs/>
          <w:color w:val="000000"/>
          <w:sz w:val="32"/>
          <w:szCs w:val="32"/>
        </w:rPr>
        <w:t>.</w:t>
      </w:r>
      <w:r>
        <w:rPr>
          <w:rStyle w:val="2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社会保障和就业支出（类）行政事业单位养老支出（款）机关事业单位职业年金缴费支出（项）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29.38</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576"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6</w:t>
      </w:r>
      <w:r>
        <w:rPr>
          <w:rStyle w:val="18"/>
          <w:rFonts w:ascii="仿宋" w:hAnsi="仿宋" w:eastAsia="仿宋"/>
          <w:bCs/>
          <w:color w:val="000000"/>
          <w:sz w:val="32"/>
          <w:szCs w:val="32"/>
        </w:rPr>
        <w:t>.</w:t>
      </w:r>
      <w:r>
        <w:rPr>
          <w:rStyle w:val="2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社会保障和就业支出（类）就业补助（款）其他就业补助支出（项）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210.36</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val="en-US" w:eastAsia="zh-CN"/>
        </w:rPr>
        <w:t>等于</w:t>
      </w:r>
      <w:r>
        <w:rPr>
          <w:rStyle w:val="18"/>
          <w:rFonts w:hint="eastAsia" w:ascii="仿宋" w:hAnsi="仿宋" w:eastAsia="仿宋"/>
          <w:b w:val="0"/>
          <w:bCs/>
          <w:color w:val="000000"/>
          <w:sz w:val="32"/>
          <w:szCs w:val="32"/>
        </w:rPr>
        <w:t>预算数。</w:t>
      </w:r>
    </w:p>
    <w:p>
      <w:pPr>
        <w:pStyle w:val="12"/>
        <w:spacing w:line="576" w:lineRule="exact"/>
        <w:ind w:firstLine="643" w:firstLineChars="200"/>
      </w:pPr>
      <w:r>
        <w:rPr>
          <w:rStyle w:val="18"/>
          <w:rFonts w:hint="eastAsia" w:ascii="仿宋" w:hAnsi="仿宋" w:eastAsia="仿宋"/>
          <w:bCs/>
          <w:color w:val="000000"/>
          <w:sz w:val="32"/>
          <w:szCs w:val="32"/>
        </w:rPr>
        <w:t>1</w:t>
      </w:r>
      <w:r>
        <w:rPr>
          <w:rStyle w:val="18"/>
          <w:rFonts w:hint="eastAsia" w:ascii="仿宋" w:hAnsi="仿宋" w:eastAsia="仿宋"/>
          <w:bCs/>
          <w:color w:val="000000"/>
          <w:sz w:val="32"/>
          <w:szCs w:val="32"/>
          <w:lang w:val="en-US" w:eastAsia="zh-CN"/>
        </w:rPr>
        <w:t>7</w:t>
      </w:r>
      <w:r>
        <w:rPr>
          <w:rStyle w:val="18"/>
          <w:rFonts w:ascii="仿宋" w:hAnsi="仿宋" w:eastAsia="仿宋"/>
          <w:bCs/>
          <w:color w:val="000000"/>
          <w:sz w:val="32"/>
          <w:szCs w:val="32"/>
        </w:rPr>
        <w:t>.</w:t>
      </w:r>
      <w:r>
        <w:rPr>
          <w:rStyle w:val="2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社会保障和就业支出（类）抚恤（款）死亡抚恤（项）</w:t>
      </w:r>
      <w:r>
        <w:rPr>
          <w:rStyle w:val="18"/>
          <w:rFonts w:hint="eastAsia" w:ascii="仿宋" w:hAnsi="仿宋" w:eastAsia="仿宋"/>
          <w:bCs/>
          <w:color w:val="000000"/>
          <w:sz w:val="32"/>
          <w:szCs w:val="32"/>
          <w:lang w:eastAsia="zh-CN"/>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130.68</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3" w:firstLineChars="200"/>
      </w:pPr>
      <w:r>
        <w:rPr>
          <w:rStyle w:val="18"/>
          <w:rFonts w:hint="eastAsia" w:ascii="仿宋" w:hAnsi="仿宋" w:eastAsia="仿宋"/>
          <w:bCs/>
          <w:color w:val="000000"/>
          <w:sz w:val="32"/>
          <w:szCs w:val="32"/>
          <w:lang w:val="en-US" w:eastAsia="zh-CN"/>
        </w:rPr>
        <w:t>18</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Fonts w:hint="eastAsia" w:ascii="仿宋" w:hAnsi="仿宋" w:eastAsia="仿宋"/>
          <w:b/>
          <w:bCs/>
          <w:color w:val="000000"/>
          <w:sz w:val="32"/>
          <w:szCs w:val="32"/>
          <w:lang w:val="en-US" w:eastAsia="zh-CN"/>
        </w:rPr>
        <w:t>支出</w:t>
      </w:r>
      <w:r>
        <w:rPr>
          <w:rStyle w:val="18"/>
          <w:rFonts w:hint="eastAsia" w:ascii="仿宋" w:hAnsi="仿宋" w:eastAsia="仿宋"/>
          <w:bCs/>
          <w:color w:val="000000"/>
          <w:sz w:val="32"/>
          <w:szCs w:val="32"/>
        </w:rPr>
        <w:t>（类）行政事业单位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（款）行政单位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91.30</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lang w:val="en-US" w:eastAsia="zh-CN"/>
        </w:rPr>
        <w:t>19</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Fonts w:hint="eastAsia" w:ascii="仿宋" w:hAnsi="仿宋" w:eastAsia="仿宋"/>
          <w:b/>
          <w:bCs/>
          <w:color w:val="000000"/>
          <w:sz w:val="32"/>
          <w:szCs w:val="32"/>
          <w:lang w:val="en-US" w:eastAsia="zh-CN"/>
        </w:rPr>
        <w:t>支出</w:t>
      </w:r>
      <w:r>
        <w:rPr>
          <w:rStyle w:val="18"/>
          <w:rFonts w:hint="eastAsia" w:ascii="仿宋" w:hAnsi="仿宋" w:eastAsia="仿宋"/>
          <w:bCs/>
          <w:color w:val="000000"/>
          <w:sz w:val="32"/>
          <w:szCs w:val="32"/>
        </w:rPr>
        <w:t>（类）行政事业单位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（款）事业单位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48.89</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3"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2</w:t>
      </w:r>
      <w:r>
        <w:rPr>
          <w:rStyle w:val="18"/>
          <w:rFonts w:hint="eastAsia" w:ascii="仿宋" w:hAnsi="仿宋" w:eastAsia="仿宋"/>
          <w:bCs/>
          <w:color w:val="000000"/>
          <w:sz w:val="32"/>
          <w:szCs w:val="32"/>
          <w:lang w:val="en-US" w:eastAsia="zh-CN"/>
        </w:rPr>
        <w:t>0</w:t>
      </w:r>
      <w:r>
        <w:rPr>
          <w:rStyle w:val="18"/>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8"/>
          <w:rFonts w:hint="eastAsia" w:ascii="仿宋" w:hAnsi="仿宋" w:eastAsia="仿宋"/>
          <w:bCs/>
          <w:color w:val="000000"/>
          <w:sz w:val="32"/>
          <w:szCs w:val="32"/>
        </w:rPr>
        <w:t>（类）普惠金融发展支出（款）创业担保贷款贴息</w:t>
      </w:r>
      <w:r>
        <w:rPr>
          <w:rStyle w:val="18"/>
          <w:rFonts w:hint="eastAsia" w:ascii="仿宋" w:hAnsi="仿宋" w:eastAsia="仿宋"/>
          <w:bCs/>
          <w:color w:val="000000"/>
          <w:sz w:val="32"/>
          <w:szCs w:val="32"/>
          <w:lang w:val="en-US" w:eastAsia="zh-CN"/>
        </w:rPr>
        <w:t>及奖补</w:t>
      </w:r>
      <w:r>
        <w:rPr>
          <w:rStyle w:val="18"/>
          <w:rFonts w:hint="eastAsia" w:ascii="仿宋" w:hAnsi="仿宋" w:eastAsia="仿宋"/>
          <w:bCs/>
          <w:color w:val="000000"/>
          <w:sz w:val="32"/>
          <w:szCs w:val="32"/>
        </w:rPr>
        <w:t>（项）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15.46</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val="en-US" w:eastAsia="zh-CN"/>
        </w:rPr>
        <w:t>等于</w:t>
      </w:r>
      <w:r>
        <w:rPr>
          <w:rStyle w:val="18"/>
          <w:rFonts w:hint="eastAsia" w:ascii="仿宋" w:hAnsi="仿宋" w:eastAsia="仿宋"/>
          <w:b w:val="0"/>
          <w:bCs/>
          <w:color w:val="000000"/>
          <w:sz w:val="32"/>
          <w:szCs w:val="32"/>
        </w:rPr>
        <w:t>预算数。</w:t>
      </w:r>
    </w:p>
    <w:p>
      <w:pPr>
        <w:pStyle w:val="12"/>
        <w:spacing w:line="576" w:lineRule="exact"/>
        <w:ind w:firstLine="643" w:firstLineChars="200"/>
      </w:pPr>
      <w:r>
        <w:rPr>
          <w:rStyle w:val="18"/>
          <w:rFonts w:hint="eastAsia" w:ascii="仿宋" w:hAnsi="仿宋" w:eastAsia="仿宋"/>
          <w:bCs/>
          <w:color w:val="000000"/>
          <w:sz w:val="32"/>
          <w:szCs w:val="32"/>
        </w:rPr>
        <w:t>2</w:t>
      </w:r>
      <w:r>
        <w:rPr>
          <w:rStyle w:val="18"/>
          <w:rFonts w:hint="eastAsia" w:ascii="仿宋" w:hAnsi="仿宋" w:eastAsia="仿宋"/>
          <w:bCs/>
          <w:color w:val="000000"/>
          <w:sz w:val="32"/>
          <w:szCs w:val="32"/>
          <w:lang w:val="en-US" w:eastAsia="zh-CN"/>
        </w:rPr>
        <w:t>1</w:t>
      </w:r>
      <w:r>
        <w:rPr>
          <w:rStyle w:val="18"/>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8"/>
          <w:rFonts w:hint="eastAsia" w:ascii="仿宋" w:hAnsi="仿宋" w:eastAsia="仿宋"/>
          <w:bCs/>
          <w:color w:val="000000"/>
          <w:sz w:val="32"/>
          <w:szCs w:val="32"/>
        </w:rPr>
        <w:t>（类）住房改革支出（款）住房公积金（项）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362.83</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val="en-US" w:eastAsia="zh-CN"/>
        </w:rPr>
        <w:t>等于</w:t>
      </w:r>
      <w:r>
        <w:rPr>
          <w:rStyle w:val="18"/>
          <w:rFonts w:hint="eastAsia" w:ascii="仿宋" w:hAnsi="仿宋" w:eastAsia="仿宋"/>
          <w:b w:val="0"/>
          <w:bCs/>
          <w:color w:val="000000"/>
          <w:sz w:val="32"/>
          <w:szCs w:val="32"/>
        </w:rPr>
        <w:t>预算数。</w:t>
      </w:r>
    </w:p>
    <w:p>
      <w:pPr>
        <w:tabs>
          <w:tab w:val="right" w:pos="8306"/>
        </w:tabs>
        <w:spacing w:line="600" w:lineRule="exact"/>
        <w:ind w:firstLine="640"/>
        <w:outlineLvl w:val="1"/>
        <w:rPr>
          <w:rStyle w:val="21"/>
          <w:color w:val="auto"/>
          <w:highlight w:val="none"/>
        </w:rPr>
      </w:pPr>
      <w:bookmarkStart w:id="65" w:name="_Toc15377214"/>
      <w:bookmarkStart w:id="66" w:name="_Toc15396608"/>
      <w:bookmarkStart w:id="67" w:name="_Toc26955"/>
      <w:bookmarkStart w:id="68" w:name="_Toc29143"/>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1"/>
          <w:rFonts w:hint="eastAsia" w:ascii="黑体" w:hAnsi="黑体" w:eastAsia="黑体"/>
          <w:b w:val="0"/>
          <w:color w:val="auto"/>
          <w:highlight w:val="none"/>
        </w:rPr>
        <w:t>般公共预算财政拨款基本支出决算情况说明</w:t>
      </w:r>
      <w:bookmarkEnd w:id="65"/>
      <w:bookmarkEnd w:id="66"/>
      <w:bookmarkEnd w:id="67"/>
      <w:bookmarkEnd w:id="68"/>
      <w:r>
        <w:rPr>
          <w:rStyle w:val="21"/>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5642.59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5069.27</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万元，主要包括：基本工资、津贴补贴、奖金、伙食补助费、绩效工资、机关事业单位基本养老保险缴费、职业年金缴费、职工基本医疗保险缴费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其他社会保障缴费、住房公积金、</w:t>
      </w:r>
      <w:r>
        <w:rPr>
          <w:rFonts w:hint="eastAsia" w:ascii="仿宋" w:hAnsi="仿宋" w:eastAsia="仿宋"/>
          <w:color w:val="auto"/>
          <w:sz w:val="32"/>
          <w:szCs w:val="32"/>
          <w:highlight w:val="none"/>
          <w:lang w:val="en-US" w:eastAsia="zh-CN"/>
        </w:rPr>
        <w:t>医疗费、</w:t>
      </w:r>
      <w:r>
        <w:rPr>
          <w:rFonts w:hint="eastAsia" w:ascii="仿宋" w:hAnsi="仿宋" w:eastAsia="仿宋"/>
          <w:color w:val="auto"/>
          <w:sz w:val="32"/>
          <w:szCs w:val="32"/>
          <w:highlight w:val="none"/>
        </w:rPr>
        <w:t>其他工资福利支出、抚恤金、生活补助、奖励金、其他对个人和家庭的补助支出。</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573.32</w:t>
      </w:r>
      <w:r>
        <w:rPr>
          <w:rFonts w:hint="eastAsia" w:ascii="仿宋" w:hAnsi="仿宋" w:eastAsia="仿宋"/>
          <w:color w:val="auto"/>
          <w:sz w:val="32"/>
          <w:szCs w:val="32"/>
          <w:highlight w:val="none"/>
        </w:rPr>
        <w:t>万元，主要包括：办公费、印刷费、咨询费、水费、电费、邮电费、物业管理费、差旅费、维修（护）费、租赁费、会议费、培训费、公务接待费、劳务费、委托业务费、工会经费、福利费、公务用车运行维护费、其他交通费</w:t>
      </w:r>
      <w:r>
        <w:rPr>
          <w:rFonts w:hint="eastAsia" w:ascii="仿宋" w:hAnsi="仿宋" w:eastAsia="仿宋"/>
          <w:color w:val="auto"/>
          <w:sz w:val="32"/>
          <w:szCs w:val="32"/>
          <w:highlight w:val="none"/>
          <w:lang w:val="en-US" w:eastAsia="zh-CN"/>
        </w:rPr>
        <w:t>用</w:t>
      </w:r>
      <w:r>
        <w:rPr>
          <w:rFonts w:hint="eastAsia" w:ascii="仿宋" w:hAnsi="仿宋" w:eastAsia="仿宋"/>
          <w:color w:val="auto"/>
          <w:sz w:val="32"/>
          <w:szCs w:val="32"/>
          <w:highlight w:val="none"/>
        </w:rPr>
        <w:t>、其他商品和服务支出、办公设备购置。</w:t>
      </w:r>
    </w:p>
    <w:p>
      <w:pPr>
        <w:spacing w:line="600" w:lineRule="exact"/>
        <w:ind w:firstLine="640"/>
        <w:outlineLvl w:val="1"/>
        <w:rPr>
          <w:rStyle w:val="21"/>
          <w:rFonts w:ascii="黑体" w:hAnsi="黑体" w:eastAsia="黑体"/>
          <w:b w:val="0"/>
          <w:color w:val="auto"/>
          <w:highlight w:val="none"/>
        </w:rPr>
      </w:pPr>
      <w:bookmarkStart w:id="69" w:name="_Toc30887"/>
      <w:bookmarkStart w:id="70" w:name="_Toc15377215"/>
      <w:bookmarkStart w:id="71" w:name="_Toc20995"/>
      <w:bookmarkStart w:id="72" w:name="_Toc15396609"/>
      <w:r>
        <w:rPr>
          <w:rFonts w:hint="eastAsia" w:ascii="黑体" w:eastAsia="黑体"/>
          <w:color w:val="auto"/>
          <w:sz w:val="32"/>
          <w:szCs w:val="32"/>
          <w:highlight w:val="none"/>
        </w:rPr>
        <w:t>七、</w:t>
      </w:r>
      <w:r>
        <w:rPr>
          <w:rStyle w:val="21"/>
          <w:rFonts w:hint="eastAsia" w:ascii="黑体" w:hAnsi="黑体" w:eastAsia="黑体"/>
          <w:b w:val="0"/>
          <w:color w:val="auto"/>
          <w:highlight w:val="none"/>
        </w:rPr>
        <w:t>财政拨款</w:t>
      </w:r>
      <w:r>
        <w:rPr>
          <w:rStyle w:val="21"/>
          <w:rFonts w:hint="eastAsia" w:ascii="黑体" w:hAnsi="黑体" w:eastAsia="黑体"/>
          <w:color w:val="auto"/>
          <w:highlight w:val="none"/>
        </w:rPr>
        <w:t>“</w:t>
      </w:r>
      <w:r>
        <w:rPr>
          <w:rStyle w:val="21"/>
          <w:rFonts w:hint="eastAsia" w:ascii="黑体" w:hAnsi="黑体" w:eastAsia="黑体"/>
          <w:b w:val="0"/>
          <w:color w:val="auto"/>
          <w:highlight w:val="none"/>
        </w:rPr>
        <w:t>三公”经费支出决算情况说明</w:t>
      </w:r>
      <w:bookmarkEnd w:id="69"/>
      <w:bookmarkEnd w:id="70"/>
      <w:bookmarkEnd w:id="71"/>
      <w:bookmarkEnd w:id="72"/>
    </w:p>
    <w:p>
      <w:pPr>
        <w:spacing w:line="600" w:lineRule="exact"/>
        <w:ind w:firstLine="640"/>
        <w:outlineLvl w:val="2"/>
        <w:rPr>
          <w:rFonts w:ascii="仿宋" w:hAnsi="仿宋" w:eastAsia="仿宋"/>
          <w:b/>
          <w:color w:val="auto"/>
          <w:sz w:val="32"/>
          <w:szCs w:val="32"/>
          <w:highlight w:val="none"/>
        </w:rPr>
      </w:pPr>
      <w:bookmarkStart w:id="73" w:name="_Toc15377216"/>
      <w:r>
        <w:rPr>
          <w:rFonts w:hint="eastAsia" w:ascii="仿宋" w:hAnsi="仿宋" w:eastAsia="仿宋"/>
          <w:b/>
          <w:color w:val="auto"/>
          <w:sz w:val="32"/>
          <w:szCs w:val="32"/>
          <w:highlight w:val="none"/>
        </w:rPr>
        <w:t>（一）“三公”经费财政拨款支出决算总体情况说明</w:t>
      </w:r>
      <w:bookmarkEnd w:id="7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6.55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98.2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减少6.87万元，下降51.19%。</w:t>
      </w:r>
      <w:r>
        <w:rPr>
          <w:rFonts w:hint="eastAsia" w:ascii="仿宋" w:hAnsi="仿宋" w:eastAsia="仿宋"/>
          <w:color w:val="auto"/>
          <w:sz w:val="32"/>
          <w:szCs w:val="32"/>
          <w:highlight w:val="none"/>
        </w:rPr>
        <w:t>决算数小于预算数的主要原因</w:t>
      </w:r>
      <w:r>
        <w:rPr>
          <w:rFonts w:hint="eastAsia" w:ascii="仿宋" w:hAnsi="仿宋" w:eastAsia="仿宋"/>
          <w:color w:val="auto"/>
          <w:sz w:val="32"/>
          <w:szCs w:val="32"/>
          <w:highlight w:val="none"/>
          <w:lang w:val="en-US" w:eastAsia="zh-CN"/>
        </w:rPr>
        <w:t>是2022年受疫情影响，公务接待和公务出差次数较上年大幅减少，公务车使用频率也大幅降低</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74" w:name="_Toc15377217"/>
      <w:r>
        <w:rPr>
          <w:rFonts w:hint="eastAsia" w:ascii="仿宋" w:hAnsi="仿宋" w:eastAsia="仿宋"/>
          <w:b/>
          <w:color w:val="auto"/>
          <w:sz w:val="32"/>
          <w:szCs w:val="32"/>
          <w:highlight w:val="none"/>
        </w:rPr>
        <w:t>（二）“三公”经费财政拨款支出决算具体情况说明</w:t>
      </w:r>
      <w:bookmarkEnd w:id="74"/>
    </w:p>
    <w:p>
      <w:pPr>
        <w:spacing w:line="600" w:lineRule="exact"/>
        <w:ind w:firstLine="640"/>
        <w:rPr>
          <w:rFonts w:hint="eastAsia" w:ascii="仿宋" w:hAnsi="仿宋" w:eastAsia="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sz w:val="32"/>
          <w:szCs w:val="32"/>
        </w:rPr>
        <w:t>年初未安排公务出国（境）预算；公务用车购置及运行维护费支出决算</w:t>
      </w:r>
      <w:r>
        <w:rPr>
          <w:rFonts w:hint="eastAsia" w:ascii="仿宋" w:hAnsi="仿宋" w:eastAsia="仿宋"/>
          <w:sz w:val="32"/>
          <w:szCs w:val="32"/>
          <w:lang w:val="en-US" w:eastAsia="zh-CN"/>
        </w:rPr>
        <w:t>4.96</w:t>
      </w:r>
      <w:r>
        <w:rPr>
          <w:rFonts w:hint="eastAsia" w:ascii="仿宋" w:hAnsi="仿宋" w:eastAsia="仿宋"/>
          <w:sz w:val="32"/>
          <w:szCs w:val="32"/>
        </w:rPr>
        <w:t>万元，占</w:t>
      </w:r>
      <w:r>
        <w:rPr>
          <w:rFonts w:hint="eastAsia" w:ascii="仿宋" w:hAnsi="仿宋" w:eastAsia="仿宋"/>
          <w:sz w:val="32"/>
          <w:szCs w:val="32"/>
          <w:lang w:val="en-US" w:eastAsia="zh-CN"/>
        </w:rPr>
        <w:t>75.73</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1.59</w:t>
      </w:r>
      <w:r>
        <w:rPr>
          <w:rFonts w:hint="eastAsia" w:ascii="仿宋" w:hAnsi="仿宋" w:eastAsia="仿宋"/>
          <w:sz w:val="32"/>
          <w:szCs w:val="32"/>
        </w:rPr>
        <w:t>万元，占</w:t>
      </w:r>
      <w:r>
        <w:rPr>
          <w:rFonts w:hint="eastAsia" w:ascii="仿宋" w:hAnsi="仿宋" w:eastAsia="仿宋"/>
          <w:sz w:val="32"/>
          <w:szCs w:val="32"/>
          <w:lang w:val="en-US" w:eastAsia="zh-CN"/>
        </w:rPr>
        <w:t>24.27</w:t>
      </w:r>
      <w:r>
        <w:rPr>
          <w:rFonts w:ascii="仿宋" w:hAnsi="仿宋" w:eastAsia="仿宋"/>
          <w:sz w:val="32"/>
          <w:szCs w:val="32"/>
        </w:rPr>
        <w:t>%</w:t>
      </w:r>
      <w:r>
        <w:rPr>
          <w:rFonts w:hint="eastAsia" w:ascii="仿宋" w:hAnsi="仿宋" w:eastAsia="仿宋"/>
          <w:sz w:val="32"/>
          <w:szCs w:val="32"/>
        </w:rPr>
        <w:t>。具体情况如下：</w:t>
      </w:r>
    </w:p>
    <w:p>
      <w:pPr>
        <w:pStyle w:val="2"/>
        <w:jc w:val="center"/>
      </w:pPr>
      <w:r>
        <w:rPr>
          <w:sz w:val="30"/>
        </w:rPr>
        <mc:AlternateContent>
          <mc:Choice Requires="wps">
            <w:drawing>
              <wp:anchor distT="0" distB="0" distL="114300" distR="114300" simplePos="0" relativeHeight="251678720" behindDoc="0" locked="0" layoutInCell="1" allowOverlap="1">
                <wp:simplePos x="0" y="0"/>
                <wp:positionH relativeFrom="column">
                  <wp:posOffset>3380105</wp:posOffset>
                </wp:positionH>
                <wp:positionV relativeFrom="paragraph">
                  <wp:posOffset>1186180</wp:posOffset>
                </wp:positionV>
                <wp:extent cx="895350" cy="494665"/>
                <wp:effectExtent l="0" t="0" r="0" b="0"/>
                <wp:wrapNone/>
                <wp:docPr id="3" name="文本框 3"/>
                <wp:cNvGraphicFramePr/>
                <a:graphic xmlns:a="http://schemas.openxmlformats.org/drawingml/2006/main">
                  <a:graphicData uri="http://schemas.microsoft.com/office/word/2010/wordprocessingShape">
                    <wps:wsp>
                      <wps:cNvSpPr txBox="1"/>
                      <wps:spPr>
                        <a:xfrm>
                          <a:off x="2703830" y="4453255"/>
                          <a:ext cx="895350" cy="494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4"/>
                                <w:szCs w:val="24"/>
                              </w:rPr>
                            </w:pPr>
                            <w:r>
                              <w:rPr>
                                <w:rFonts w:hint="eastAsia" w:ascii="仿宋" w:hAnsi="仿宋" w:eastAsia="仿宋"/>
                                <w:sz w:val="24"/>
                                <w:szCs w:val="24"/>
                                <w:lang w:val="en-US" w:eastAsia="zh-CN"/>
                              </w:rPr>
                              <w:t>4.96</w:t>
                            </w:r>
                            <w:r>
                              <w:rPr>
                                <w:rFonts w:hint="eastAsia" w:ascii="仿宋" w:hAnsi="仿宋" w:eastAsia="仿宋"/>
                                <w:sz w:val="24"/>
                                <w:szCs w:val="24"/>
                              </w:rPr>
                              <w:t>万元，占</w:t>
                            </w:r>
                            <w:r>
                              <w:rPr>
                                <w:rFonts w:hint="eastAsia" w:ascii="仿宋" w:hAnsi="仿宋" w:eastAsia="仿宋"/>
                                <w:sz w:val="24"/>
                                <w:szCs w:val="24"/>
                                <w:lang w:val="en-US" w:eastAsia="zh-CN"/>
                              </w:rPr>
                              <w:t>75.73</w:t>
                            </w:r>
                            <w:r>
                              <w:rPr>
                                <w:rFonts w:ascii="仿宋" w:hAnsi="仿宋" w:eastAsia="仿宋"/>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15pt;margin-top:93.4pt;height:38.95pt;width:70.5pt;z-index:251678720;mso-width-relative:page;mso-height-relative:page;" filled="f" stroked="f" coordsize="21600,21600" o:gfxdata="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uEWR72wAAAAsBAAAPAAAAAAAAAAEA&#10;IAAAACIAAABkcnMvZG93bnJldi54bWxQSwECFAAUAAAACACHTuJAaSaABUUCAABxBAAADgAAAAAA&#10;AAABACAAAAAqAQAAZHJzL2Uyb0RvYy54bWxQSwUGAAAAAAYABgBZAQAA4QUAAAAA&#10;">
                <v:fill on="f" focussize="0,0"/>
                <v:stroke on="f" weight="0.5pt"/>
                <v:imagedata o:title=""/>
                <o:lock v:ext="edit" aspectratio="f"/>
                <v:textbox>
                  <w:txbxContent>
                    <w:p>
                      <w:pPr>
                        <w:rPr>
                          <w:sz w:val="24"/>
                          <w:szCs w:val="24"/>
                        </w:rPr>
                      </w:pPr>
                      <w:r>
                        <w:rPr>
                          <w:rFonts w:hint="eastAsia" w:ascii="仿宋" w:hAnsi="仿宋" w:eastAsia="仿宋"/>
                          <w:sz w:val="24"/>
                          <w:szCs w:val="24"/>
                          <w:lang w:val="en-US" w:eastAsia="zh-CN"/>
                        </w:rPr>
                        <w:t>4.96</w:t>
                      </w:r>
                      <w:r>
                        <w:rPr>
                          <w:rFonts w:hint="eastAsia" w:ascii="仿宋" w:hAnsi="仿宋" w:eastAsia="仿宋"/>
                          <w:sz w:val="24"/>
                          <w:szCs w:val="24"/>
                        </w:rPr>
                        <w:t>万元，占</w:t>
                      </w:r>
                      <w:r>
                        <w:rPr>
                          <w:rFonts w:hint="eastAsia" w:ascii="仿宋" w:hAnsi="仿宋" w:eastAsia="仿宋"/>
                          <w:sz w:val="24"/>
                          <w:szCs w:val="24"/>
                          <w:lang w:val="en-US" w:eastAsia="zh-CN"/>
                        </w:rPr>
                        <w:t>75.73</w:t>
                      </w:r>
                      <w:r>
                        <w:rPr>
                          <w:rFonts w:ascii="仿宋" w:hAnsi="仿宋" w:eastAsia="仿宋"/>
                          <w:sz w:val="24"/>
                          <w:szCs w:val="24"/>
                        </w:rPr>
                        <w:t>%</w:t>
                      </w:r>
                    </w:p>
                  </w:txbxContent>
                </v:textbox>
              </v:shape>
            </w:pict>
          </mc:Fallback>
        </mc:AlternateContent>
      </w:r>
      <w:r>
        <w:rPr>
          <w:sz w:val="30"/>
        </w:rPr>
        <mc:AlternateContent>
          <mc:Choice Requires="wps">
            <w:drawing>
              <wp:anchor distT="0" distB="0" distL="114300" distR="114300" simplePos="0" relativeHeight="251679744" behindDoc="0" locked="0" layoutInCell="1" allowOverlap="1">
                <wp:simplePos x="0" y="0"/>
                <wp:positionH relativeFrom="column">
                  <wp:posOffset>3113405</wp:posOffset>
                </wp:positionH>
                <wp:positionV relativeFrom="paragraph">
                  <wp:posOffset>1243330</wp:posOffset>
                </wp:positionV>
                <wp:extent cx="363855" cy="126365"/>
                <wp:effectExtent l="0" t="19050" r="17145" b="6985"/>
                <wp:wrapNone/>
                <wp:docPr id="11" name="直接箭头连接符 11"/>
                <wp:cNvGraphicFramePr/>
                <a:graphic xmlns:a="http://schemas.openxmlformats.org/drawingml/2006/main">
                  <a:graphicData uri="http://schemas.microsoft.com/office/word/2010/wordprocessingShape">
                    <wps:wsp>
                      <wps:cNvCnPr/>
                      <wps:spPr>
                        <a:xfrm flipH="1" flipV="1">
                          <a:off x="4065905" y="5091430"/>
                          <a:ext cx="363855" cy="126365"/>
                        </a:xfrm>
                        <a:prstGeom prst="straightConnector1">
                          <a:avLst/>
                        </a:prstGeom>
                        <a:ln w="12700" cmpd="sng">
                          <a:solidFill>
                            <a:schemeClr val="tx1"/>
                          </a:solidFill>
                          <a:prstDash val="solid"/>
                          <a:tailEnd type="arrow" w="med" len="med"/>
                        </a:ln>
                      </wps:spPr>
                      <wps:style>
                        <a:lnRef idx="2">
                          <a:prstClr val="black"/>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 y;margin-left:245.15pt;margin-top:97.9pt;height:9.95pt;width:28.65pt;z-index:251679744;mso-width-relative:page;mso-height-relative:page;" filled="f" stroked="t" coordsize="21600,21600" o:gfxdata="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6zG&#10;HtoAAAALAQAADwAAAAAAAAABACAAAAAiAAAAZHJzL2Rvd25yZXYueG1sUEsBAhQAFAAAAAgAh07i&#10;QMyDNOggAgAAAAQAAA4AAAAAAAAAAQAgAAAAKQEAAGRycy9lMm9Eb2MueG1sUEsFBgAAAAAGAAYA&#10;WQEAALsFAAAAAA==&#10;">
                <v:fill on="f" focussize="0,0"/>
                <v:stroke weight="1pt" color="#000000 [3213]" joinstyle="round" endarrow="open"/>
                <v:imagedata o:title=""/>
                <o:lock v:ext="edit" aspectratio="f"/>
              </v:shape>
            </w:pict>
          </mc:Fallback>
        </mc:AlternateContent>
      </w:r>
      <w:r>
        <w:rPr>
          <w:sz w:val="30"/>
        </w:rPr>
        <mc:AlternateContent>
          <mc:Choice Requires="wps">
            <w:drawing>
              <wp:anchor distT="0" distB="0" distL="114300" distR="114300" simplePos="0" relativeHeight="251681792" behindDoc="0" locked="0" layoutInCell="1" allowOverlap="1">
                <wp:simplePos x="0" y="0"/>
                <wp:positionH relativeFrom="column">
                  <wp:posOffset>1951355</wp:posOffset>
                </wp:positionH>
                <wp:positionV relativeFrom="paragraph">
                  <wp:posOffset>738505</wp:posOffset>
                </wp:positionV>
                <wp:extent cx="428625" cy="161925"/>
                <wp:effectExtent l="2540" t="5715" r="6985" b="22860"/>
                <wp:wrapNone/>
                <wp:docPr id="29" name="直接箭头连接符 29"/>
                <wp:cNvGraphicFramePr/>
                <a:graphic xmlns:a="http://schemas.openxmlformats.org/drawingml/2006/main">
                  <a:graphicData uri="http://schemas.microsoft.com/office/word/2010/wordprocessingShape">
                    <wps:wsp>
                      <wps:cNvCnPr/>
                      <wps:spPr>
                        <a:xfrm>
                          <a:off x="3094355" y="4700905"/>
                          <a:ext cx="42862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53.65pt;margin-top:58.15pt;height:12.75pt;width:33.75pt;z-index:251681792;mso-width-relative:page;mso-height-relative:page;" filled="f" stroked="t" coordsize="21600,21600" o:gfxdata="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MPEb2gAAAAsBAAAPAAAAAAAAAAEAIAAA&#10;ACIAAABkcnMvZG93bnJldi54bWxQSwECFAAUAAAACACHTuJAM0tLNgoCAADaAwAADgAAAAAAAAAB&#10;ACAAAAApAQAAZHJzL2Uyb0RvYy54bWxQSwUGAAAAAAYABgBZAQAApQUAAAAA&#10;">
                <v:fill on="f" focussize="0,0"/>
                <v:stroke weight="1pt" color="#000000 [3213]" joinstyle="round" endarrow="open"/>
                <v:imagedata o:title=""/>
                <o:lock v:ext="edit" aspectratio="f"/>
              </v:shape>
            </w:pict>
          </mc:Fallback>
        </mc:AlternateContent>
      </w:r>
      <w:r>
        <w:rPr>
          <w:sz w:val="30"/>
        </w:rPr>
        <mc:AlternateContent>
          <mc:Choice Requires="wps">
            <w:drawing>
              <wp:anchor distT="0" distB="0" distL="114300" distR="114300" simplePos="0" relativeHeight="251680768" behindDoc="0" locked="0" layoutInCell="1" allowOverlap="1">
                <wp:simplePos x="0" y="0"/>
                <wp:positionH relativeFrom="column">
                  <wp:posOffset>1217930</wp:posOffset>
                </wp:positionH>
                <wp:positionV relativeFrom="paragraph">
                  <wp:posOffset>471805</wp:posOffset>
                </wp:positionV>
                <wp:extent cx="847725" cy="485775"/>
                <wp:effectExtent l="0" t="0" r="9525" b="9525"/>
                <wp:wrapNone/>
                <wp:docPr id="28" name="文本框 28"/>
                <wp:cNvGraphicFramePr/>
                <a:graphic xmlns:a="http://schemas.openxmlformats.org/drawingml/2006/main">
                  <a:graphicData uri="http://schemas.microsoft.com/office/word/2010/wordprocessingShape">
                    <wps:wsp>
                      <wps:cNvSpPr txBox="1"/>
                      <wps:spPr>
                        <a:xfrm>
                          <a:off x="2360930" y="4434205"/>
                          <a:ext cx="84772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1.59万元，占24.27%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9pt;margin-top:37.15pt;height:38.25pt;width:66.75pt;z-index:251680768;mso-width-relative:page;mso-height-relative:page;" fillcolor="#FFFFFF [3201]" filled="t" stroked="f" coordsize="21600,21600" o:gfxdata="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KYN&#10;adUAAAAKAQAADwAAAAAAAAABACAAAAAiAAAAZHJzL2Rvd25yZXYueG1sUEsBAhQAFAAAAAgAh07i&#10;QO0fw09eAgAAnAQAAA4AAAAAAAAAAQAgAAAAJAEAAGRycy9lMm9Eb2MueG1sUEsFBgAAAAAGAAYA&#10;WQEAAPQFAAAAAA==&#10;">
                <v:fill on="t" focussize="0,0"/>
                <v:stroke on="f" weight="0.5pt"/>
                <v:imagedata o:title=""/>
                <o:lock v:ext="edit" aspectratio="f"/>
                <v:textbox>
                  <w:txbxContent>
                    <w:p>
                      <w:pPr>
                        <w:rPr>
                          <w:rFonts w:hint="default" w:eastAsia="宋体"/>
                          <w:lang w:val="en-US" w:eastAsia="zh-CN"/>
                        </w:rPr>
                      </w:pPr>
                      <w:r>
                        <w:rPr>
                          <w:rFonts w:hint="eastAsia"/>
                          <w:lang w:val="en-US" w:eastAsia="zh-CN"/>
                        </w:rPr>
                        <w:t>1.59万元，占24.27%</w:t>
                      </w:r>
                    </w:p>
                  </w:txbxContent>
                </v:textbox>
              </v:shape>
            </w:pict>
          </mc:Fallback>
        </mc:AlternateContent>
      </w:r>
      <w:r>
        <w:drawing>
          <wp:inline distT="0" distB="0" distL="114300" distR="114300">
            <wp:extent cx="3464560" cy="1715770"/>
            <wp:effectExtent l="5080" t="4445" r="1651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8"/>
          <w:rFonts w:hint="eastAsia" w:ascii="仿宋" w:hAnsi="仿宋" w:eastAsia="仿宋"/>
          <w:b w:val="0"/>
          <w:bCs/>
          <w:sz w:val="32"/>
          <w:szCs w:val="32"/>
        </w:rPr>
        <w:t>年初未</w:t>
      </w:r>
      <w:r>
        <w:rPr>
          <w:rFonts w:hint="eastAsia" w:ascii="仿宋_GB2312" w:eastAsia="仿宋_GB2312"/>
          <w:sz w:val="32"/>
          <w:szCs w:val="32"/>
        </w:rPr>
        <w:t>安排因公出国（境）预算，因公出国（境）支出决算较202</w:t>
      </w:r>
      <w:r>
        <w:rPr>
          <w:rFonts w:hint="eastAsia" w:ascii="仿宋_GB2312" w:eastAsia="仿宋_GB2312"/>
          <w:sz w:val="32"/>
          <w:szCs w:val="32"/>
          <w:lang w:val="en-US" w:eastAsia="zh-CN"/>
        </w:rPr>
        <w:t>1</w:t>
      </w:r>
      <w:r>
        <w:rPr>
          <w:rFonts w:hint="eastAsia" w:ascii="仿宋_GB2312" w:eastAsia="仿宋_GB2312"/>
          <w:sz w:val="32"/>
          <w:szCs w:val="32"/>
        </w:rPr>
        <w:t>年无变化。</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4.96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2.66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34.91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2022年受疫情影响，与上年比较公务出差次数大幅减少，公务车使用频率也大幅降低</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rPr>
        <w:t>全年未更新购置公务用车。截至2022年12月底，本部门共有公务用车</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辆，其中：特种专业技术用车1辆、其他用车2辆。</w:t>
      </w:r>
    </w:p>
    <w:p>
      <w:pPr>
        <w:spacing w:line="600" w:lineRule="exact"/>
        <w:ind w:firstLine="640"/>
        <w:rPr>
          <w:rFonts w:ascii="仿宋_GB2312" w:eastAsia="仿宋_GB2312"/>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4.96</w:t>
      </w:r>
      <w:r>
        <w:rPr>
          <w:rFonts w:hint="eastAsia" w:ascii="仿宋_GB2312" w:eastAsia="仿宋_GB2312"/>
          <w:color w:val="auto"/>
          <w:sz w:val="32"/>
          <w:szCs w:val="32"/>
          <w:highlight w:val="none"/>
        </w:rPr>
        <w:t>万元。</w:t>
      </w:r>
      <w:r>
        <w:rPr>
          <w:rFonts w:hint="eastAsia" w:ascii="仿宋" w:hAnsi="仿宋" w:eastAsia="仿宋"/>
          <w:color w:val="000000"/>
          <w:sz w:val="32"/>
          <w:szCs w:val="32"/>
        </w:rPr>
        <w:t>主要用于</w:t>
      </w:r>
      <w:r>
        <w:rPr>
          <w:rFonts w:hint="eastAsia" w:ascii="仿宋_GB2312" w:eastAsia="仿宋_GB2312"/>
          <w:sz w:val="32"/>
          <w:szCs w:val="32"/>
        </w:rPr>
        <w:t>促进就业创业、人才队伍建设、人事制度改革、高层次人才引进、劳动关系维权、工伤调查认定、公共服务体系建设</w:t>
      </w:r>
      <w:r>
        <w:rPr>
          <w:rFonts w:hint="eastAsia" w:ascii="仿宋" w:hAnsi="仿宋" w:eastAsia="仿宋"/>
          <w:color w:val="000000"/>
          <w:sz w:val="32"/>
          <w:szCs w:val="32"/>
        </w:rPr>
        <w:t>等所需的</w:t>
      </w:r>
    </w:p>
    <w:p>
      <w:pPr>
        <w:spacing w:line="600" w:lineRule="exac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1.59</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92.98</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4.21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72.59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2022年受疫情影响，公务接待批次和人数都大幅降低</w:t>
      </w:r>
      <w:r>
        <w:rPr>
          <w:rFonts w:hint="eastAsia" w:ascii="仿宋_GB2312" w:eastAsia="仿宋_GB2312"/>
          <w:color w:val="auto"/>
          <w:sz w:val="32"/>
          <w:szCs w:val="32"/>
          <w:highlight w:val="none"/>
        </w:rPr>
        <w:t>。其中：</w:t>
      </w:r>
    </w:p>
    <w:p>
      <w:pPr>
        <w:spacing w:line="600" w:lineRule="exact"/>
        <w:ind w:firstLine="640"/>
        <w:rPr>
          <w:rFonts w:hint="default"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1.59</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主要用于</w:t>
      </w:r>
      <w:r>
        <w:rPr>
          <w:rFonts w:hint="eastAsia" w:ascii="仿宋_GB2312" w:eastAsia="仿宋_GB2312"/>
          <w:sz w:val="32"/>
          <w:szCs w:val="32"/>
        </w:rPr>
        <w:t>开展就业创业、完善社会保障体系、人才队伍建设、人事制度改革、构建和谐劳动关系、公共服务体系建设等重点工作以及有关单位来广调研、指导、督查督办、学习交流所发生的接待支出</w:t>
      </w:r>
      <w:r>
        <w:rPr>
          <w:rFonts w:hint="eastAsia" w:ascii="仿宋_GB2312" w:eastAsia="仿宋_GB2312"/>
          <w:sz w:val="32"/>
          <w:szCs w:val="32"/>
          <w:lang w:eastAsia="zh-CN"/>
        </w:rPr>
        <w:t>（</w:t>
      </w:r>
      <w:r>
        <w:rPr>
          <w:rFonts w:hint="eastAsia" w:ascii="仿宋_GB2312" w:eastAsia="仿宋_GB2312"/>
          <w:color w:val="auto"/>
          <w:sz w:val="32"/>
          <w:szCs w:val="32"/>
          <w:highlight w:val="none"/>
        </w:rPr>
        <w:t>执行公务、开展业务活动开支的交通费、住宿费、用餐费等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115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1.59</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调研接待6次5670元，学习交流接待2次2550元，</w:t>
      </w:r>
      <w:r>
        <w:rPr>
          <w:rFonts w:hint="eastAsia" w:ascii="仿宋_GB2312" w:eastAsia="仿宋_GB2312"/>
          <w:sz w:val="32"/>
          <w:szCs w:val="32"/>
        </w:rPr>
        <w:t>督查督办</w:t>
      </w:r>
      <w:r>
        <w:rPr>
          <w:rFonts w:hint="eastAsia" w:ascii="仿宋_GB2312" w:eastAsia="仿宋_GB2312"/>
          <w:sz w:val="32"/>
          <w:szCs w:val="32"/>
          <w:lang w:val="en-US" w:eastAsia="zh-CN"/>
        </w:rPr>
        <w:t>7次7680元。</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75" w:name="_Toc15377218"/>
      <w:bookmarkStart w:id="76" w:name="_Toc15396610"/>
    </w:p>
    <w:p>
      <w:pPr>
        <w:spacing w:line="600" w:lineRule="exact"/>
        <w:ind w:firstLine="640"/>
        <w:outlineLvl w:val="1"/>
        <w:rPr>
          <w:rStyle w:val="21"/>
          <w:rFonts w:ascii="黑体" w:hAnsi="黑体" w:eastAsia="黑体"/>
          <w:color w:val="auto"/>
          <w:highlight w:val="none"/>
        </w:rPr>
      </w:pPr>
      <w:bookmarkStart w:id="77" w:name="_Toc23014"/>
      <w:bookmarkStart w:id="78" w:name="_Toc22124"/>
      <w:r>
        <w:rPr>
          <w:rFonts w:hint="eastAsia" w:ascii="黑体" w:eastAsia="黑体"/>
          <w:color w:val="auto"/>
          <w:sz w:val="32"/>
          <w:szCs w:val="32"/>
          <w:highlight w:val="none"/>
        </w:rPr>
        <w:t>八、</w:t>
      </w:r>
      <w:r>
        <w:rPr>
          <w:rStyle w:val="21"/>
          <w:rFonts w:hint="eastAsia" w:ascii="黑体" w:hAnsi="黑体" w:eastAsia="黑体"/>
          <w:b w:val="0"/>
          <w:color w:val="auto"/>
          <w:highlight w:val="none"/>
        </w:rPr>
        <w:t>政府性基金预算支出决算情况说明</w:t>
      </w:r>
      <w:bookmarkEnd w:id="75"/>
      <w:bookmarkEnd w:id="76"/>
      <w:bookmarkEnd w:id="77"/>
      <w:bookmarkEnd w:id="7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1"/>
          <w:rFonts w:ascii="黑体" w:hAnsi="黑体" w:eastAsia="黑体"/>
          <w:b w:val="0"/>
          <w:color w:val="auto"/>
          <w:highlight w:val="none"/>
        </w:rPr>
      </w:pPr>
      <w:bookmarkStart w:id="79" w:name="_Toc5436"/>
      <w:bookmarkStart w:id="80" w:name="_Toc15396611"/>
      <w:bookmarkStart w:id="81" w:name="_Toc18435"/>
      <w:bookmarkStart w:id="82" w:name="_Toc15377219"/>
      <w:r>
        <w:rPr>
          <w:rStyle w:val="21"/>
          <w:rFonts w:hint="eastAsia" w:ascii="黑体" w:hAnsi="黑体" w:eastAsia="黑体"/>
          <w:b w:val="0"/>
          <w:color w:val="auto"/>
          <w:highlight w:val="none"/>
        </w:rPr>
        <w:t>国有资本经营预算支出决算情况说明</w:t>
      </w:r>
      <w:bookmarkEnd w:id="79"/>
      <w:bookmarkEnd w:id="80"/>
      <w:bookmarkEnd w:id="81"/>
      <w:bookmarkEnd w:id="82"/>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1"/>
          <w:rFonts w:hint="eastAsia" w:ascii="黑体" w:hAnsi="黑体" w:eastAsia="黑体"/>
          <w:b w:val="0"/>
          <w:color w:val="auto"/>
          <w:highlight w:val="none"/>
        </w:rPr>
      </w:pPr>
      <w:bookmarkStart w:id="83" w:name="_Toc15377221"/>
      <w:bookmarkStart w:id="84" w:name="_Toc15396612"/>
      <w:bookmarkStart w:id="85" w:name="_Toc17832"/>
      <w:bookmarkStart w:id="86" w:name="_Toc1853"/>
      <w:r>
        <w:rPr>
          <w:rStyle w:val="21"/>
          <w:rFonts w:hint="eastAsia" w:ascii="黑体" w:hAnsi="黑体" w:eastAsia="黑体"/>
          <w:b w:val="0"/>
          <w:color w:val="auto"/>
          <w:highlight w:val="none"/>
        </w:rPr>
        <w:t>其他重要事项的情况说明</w:t>
      </w:r>
      <w:bookmarkEnd w:id="83"/>
      <w:bookmarkEnd w:id="84"/>
      <w:bookmarkEnd w:id="85"/>
      <w:bookmarkEnd w:id="86"/>
    </w:p>
    <w:p>
      <w:pPr>
        <w:spacing w:line="600" w:lineRule="exact"/>
        <w:ind w:firstLine="643" w:firstLineChars="200"/>
        <w:outlineLvl w:val="2"/>
        <w:rPr>
          <w:rFonts w:ascii="仿宋" w:hAnsi="仿宋" w:eastAsia="仿宋"/>
          <w:color w:val="auto"/>
          <w:sz w:val="32"/>
          <w:szCs w:val="32"/>
          <w:highlight w:val="none"/>
        </w:rPr>
      </w:pPr>
      <w:bookmarkStart w:id="87" w:name="_Toc15377222"/>
      <w:r>
        <w:rPr>
          <w:rFonts w:hint="eastAsia" w:ascii="仿宋" w:hAnsi="仿宋" w:eastAsia="仿宋"/>
          <w:b/>
          <w:color w:val="auto"/>
          <w:sz w:val="32"/>
          <w:szCs w:val="32"/>
          <w:highlight w:val="none"/>
        </w:rPr>
        <w:t>（一）机关运行经费支出情况</w:t>
      </w:r>
      <w:bookmarkEnd w:id="87"/>
    </w:p>
    <w:p>
      <w:pPr>
        <w:spacing w:line="600" w:lineRule="exact"/>
        <w:ind w:firstLine="640" w:firstLineChars="200"/>
        <w:rPr>
          <w:rFonts w:hint="eastAsia" w:ascii="仿宋" w:hAnsi="仿宋" w:eastAsia="仿宋" w:cs="仿宋"/>
          <w:b/>
          <w:bCs w:val="0"/>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广元市人力资源和社会保障局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532.84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7.91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1.46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“三公”经费较上年比较大幅降低</w:t>
      </w:r>
      <w:r>
        <w:rPr>
          <w:rFonts w:hint="eastAsia" w:ascii="仿宋_GB2312" w:eastAsia="仿宋_GB2312"/>
          <w:color w:val="auto"/>
          <w:sz w:val="32"/>
          <w:szCs w:val="32"/>
          <w:highlight w:val="none"/>
          <w:lang w:eastAsia="zh-CN"/>
        </w:rPr>
        <w:t>。</w:t>
      </w:r>
      <w:bookmarkStart w:id="88" w:name="_Toc15377223"/>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88"/>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广元市人力资源和社会保障局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224.69</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26.69</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198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“一卡通”阳光审批系统建设、办公设施设备、家具采购等支出</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26.69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11.89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26.69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11.89</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9" w:name="_Toc15377224"/>
      <w:r>
        <w:rPr>
          <w:rFonts w:hint="eastAsia" w:ascii="仿宋" w:hAnsi="仿宋" w:eastAsia="仿宋"/>
          <w:b/>
          <w:color w:val="auto"/>
          <w:sz w:val="32"/>
          <w:szCs w:val="32"/>
          <w:highlight w:val="none"/>
        </w:rPr>
        <w:t>（三）国有资产占有使用情况</w:t>
      </w:r>
      <w:bookmarkEnd w:id="89"/>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广元市人力资源和社会保障局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特种专业技术</w:t>
      </w:r>
      <w:r>
        <w:rPr>
          <w:rFonts w:hint="eastAsia" w:ascii="仿宋_GB2312" w:eastAsia="仿宋_GB2312"/>
          <w:color w:val="auto"/>
          <w:sz w:val="32"/>
          <w:szCs w:val="32"/>
          <w:highlight w:val="none"/>
        </w:rPr>
        <w:t>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val="en-US" w:eastAsia="zh-CN"/>
        </w:rPr>
        <w:t>日常工作开展</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val="en-US" w:eastAsia="zh-CN"/>
        </w:rPr>
        <w:t>新增大于50万元的</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广元市第九届职业技能竞赛</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ascii="仿宋_GB2312" w:eastAsia="仿宋_GB2312"/>
          <w:b/>
          <w:color w:val="auto"/>
          <w:sz w:val="32"/>
          <w:szCs w:val="32"/>
          <w:highlight w:val="yellow"/>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auto"/>
          <w:sz w:val="32"/>
          <w:szCs w:val="32"/>
          <w:highlight w:val="none"/>
          <w:lang w:val="en-US" w:eastAsia="zh-CN"/>
        </w:rPr>
        <w:t>广元市人力资源和社会保障局</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val="en-US" w:eastAsia="zh-CN"/>
        </w:rPr>
        <w:t>三支一扶培训经费、事业单位培训工作经费</w:t>
      </w:r>
      <w:r>
        <w:rPr>
          <w:rFonts w:hint="eastAsia" w:ascii="仿宋_GB2312" w:hAnsi="仿宋_GB2312" w:eastAsia="仿宋_GB2312" w:cs="仿宋_GB2312"/>
          <w:color w:val="auto"/>
          <w:sz w:val="32"/>
          <w:szCs w:val="32"/>
          <w:highlight w:val="none"/>
        </w:rPr>
        <w:t>等专项预算项目绩效自评报告，其中，</w:t>
      </w:r>
      <w:r>
        <w:rPr>
          <w:rFonts w:hint="eastAsia" w:ascii="仿宋_GB2312" w:hAnsi="仿宋_GB2312" w:eastAsia="仿宋_GB2312" w:cs="仿宋_GB2312"/>
          <w:color w:val="auto"/>
          <w:sz w:val="32"/>
          <w:szCs w:val="32"/>
          <w:highlight w:val="none"/>
          <w:lang w:val="en-US" w:eastAsia="zh-CN"/>
        </w:rPr>
        <w:t>广元市人力资源和社会保障局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val="en-US" w:eastAsia="zh-CN"/>
        </w:rPr>
        <w:t>自评结果真实、客观地反映了我部门财政资金绩效情况</w:t>
      </w:r>
      <w:r>
        <w:rPr>
          <w:rFonts w:hint="eastAsia" w:ascii="仿宋_GB2312" w:hAnsi="仿宋_GB2312" w:eastAsia="仿宋_GB2312" w:cs="仿宋_GB2312"/>
          <w:color w:val="auto"/>
          <w:sz w:val="32"/>
          <w:szCs w:val="32"/>
          <w:highlight w:val="none"/>
        </w:rPr>
        <w:t>；专项预算项目</w:t>
      </w:r>
      <w:r>
        <w:rPr>
          <w:rFonts w:hint="eastAsia" w:ascii="仿宋_GB2312" w:hAnsi="仿宋_GB2312" w:eastAsia="仿宋_GB2312" w:cs="仿宋_GB2312"/>
          <w:color w:val="auto"/>
          <w:sz w:val="32"/>
          <w:szCs w:val="32"/>
          <w:highlight w:val="none"/>
          <w:lang w:val="en-US" w:eastAsia="zh-CN"/>
        </w:rPr>
        <w:t>根据各项目具体绩效目标完成情况进行</w:t>
      </w:r>
      <w:r>
        <w:rPr>
          <w:rFonts w:hint="eastAsia" w:ascii="仿宋_GB2312" w:hAnsi="仿宋_GB2312" w:eastAsia="仿宋_GB2312" w:cs="仿宋_GB2312"/>
          <w:color w:val="auto"/>
          <w:sz w:val="32"/>
          <w:szCs w:val="32"/>
          <w:highlight w:val="none"/>
        </w:rPr>
        <w:t>绩效自评得分，</w:t>
      </w:r>
      <w:r>
        <w:rPr>
          <w:rFonts w:hint="eastAsia" w:ascii="仿宋_GB2312" w:hAnsi="仿宋_GB2312" w:eastAsia="仿宋_GB2312" w:cs="仿宋_GB2312"/>
          <w:color w:val="auto"/>
          <w:sz w:val="32"/>
          <w:szCs w:val="32"/>
          <w:highlight w:val="none"/>
          <w:lang w:val="en-US" w:eastAsia="zh-CN"/>
        </w:rPr>
        <w:t>自评结果真实、客观地反映了各项目的绩效目标完成情况。</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yellow"/>
        </w:rPr>
        <w:br w:type="page"/>
      </w:r>
    </w:p>
    <w:p>
      <w:pPr>
        <w:numPr>
          <w:ilvl w:val="0"/>
          <w:numId w:val="5"/>
        </w:numPr>
        <w:spacing w:line="600" w:lineRule="exact"/>
        <w:ind w:firstLine="660" w:firstLineChars="150"/>
        <w:jc w:val="center"/>
        <w:outlineLvl w:val="0"/>
        <w:rPr>
          <w:rStyle w:val="20"/>
          <w:rFonts w:ascii="黑体" w:hAnsi="黑体" w:eastAsia="黑体"/>
          <w:b w:val="0"/>
          <w:color w:val="auto"/>
          <w:highlight w:val="none"/>
        </w:rPr>
      </w:pPr>
      <w:bookmarkStart w:id="90" w:name="_Toc15396613"/>
      <w:bookmarkStart w:id="91" w:name="_Toc12159"/>
      <w:bookmarkStart w:id="92" w:name="_Toc15046"/>
      <w:bookmarkStart w:id="93" w:name="_Toc15377225"/>
      <w:r>
        <w:rPr>
          <w:rFonts w:hint="eastAsia" w:ascii="黑体" w:hAnsi="黑体" w:eastAsia="黑体"/>
          <w:color w:val="auto"/>
          <w:sz w:val="44"/>
          <w:szCs w:val="44"/>
          <w:highlight w:val="none"/>
        </w:rPr>
        <w:t>名</w:t>
      </w:r>
      <w:r>
        <w:rPr>
          <w:rStyle w:val="20"/>
          <w:rFonts w:hint="eastAsia" w:ascii="黑体" w:hAnsi="黑体" w:eastAsia="黑体"/>
          <w:b w:val="0"/>
          <w:color w:val="auto"/>
          <w:highlight w:val="none"/>
        </w:rPr>
        <w:t>词解释</w:t>
      </w:r>
      <w:bookmarkEnd w:id="90"/>
      <w:bookmarkEnd w:id="91"/>
      <w:bookmarkEnd w:id="92"/>
      <w:bookmarkEnd w:id="93"/>
    </w:p>
    <w:p>
      <w:pPr>
        <w:spacing w:line="600" w:lineRule="exact"/>
        <w:jc w:val="left"/>
        <w:rPr>
          <w:rFonts w:ascii="宋体"/>
          <w:b/>
          <w:color w:val="auto"/>
          <w:sz w:val="44"/>
          <w:szCs w:val="44"/>
          <w:highlight w:val="none"/>
        </w:rPr>
      </w:pPr>
    </w:p>
    <w:p>
      <w:pPr>
        <w:pStyle w:val="30"/>
        <w:spacing w:line="560" w:lineRule="exact"/>
        <w:ind w:firstLine="640" w:firstLineChars="200"/>
        <w:outlineLvl w:val="1"/>
        <w:rPr>
          <w:rFonts w:ascii="仿宋_GB2312" w:eastAsia="仿宋_GB2312"/>
          <w:sz w:val="32"/>
          <w:szCs w:val="32"/>
        </w:rPr>
      </w:pPr>
      <w:bookmarkStart w:id="94" w:name="_Toc13822"/>
      <w:bookmarkStart w:id="95" w:name="_Toc32570"/>
      <w:bookmarkStart w:id="96" w:name="_Toc24343"/>
      <w:bookmarkStart w:id="97" w:name="_Toc18768"/>
      <w:bookmarkStart w:id="98" w:name="_Toc11604"/>
      <w:r>
        <w:rPr>
          <w:rFonts w:ascii="仿宋_GB2312" w:eastAsia="仿宋_GB2312"/>
          <w:sz w:val="32"/>
          <w:szCs w:val="32"/>
        </w:rPr>
        <w:t>1.</w:t>
      </w:r>
      <w:r>
        <w:rPr>
          <w:rFonts w:hint="eastAsia" w:ascii="仿宋_GB2312" w:eastAsia="仿宋_GB2312"/>
          <w:sz w:val="32"/>
          <w:szCs w:val="32"/>
        </w:rPr>
        <w:t>财政拨款收入：反映单位从同级财政部门取得的财政预算资金。</w:t>
      </w:r>
      <w:bookmarkEnd w:id="94"/>
      <w:bookmarkEnd w:id="95"/>
      <w:bookmarkEnd w:id="96"/>
      <w:bookmarkEnd w:id="97"/>
      <w:bookmarkEnd w:id="98"/>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其他收入：反映单位取得的除上述收入以外的各项收入。主要是利息收入。</w:t>
      </w:r>
      <w:r>
        <w:rPr>
          <w:rFonts w:ascii="仿宋_GB2312" w:eastAsia="仿宋_GB2312"/>
          <w:sz w:val="32"/>
          <w:szCs w:val="32"/>
        </w:rPr>
        <w:t xml:space="preserve"> </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年初结转和结余：反映以前年度尚未完成、结转到本年按有关规定继续使用的资金。</w:t>
      </w:r>
      <w:r>
        <w:rPr>
          <w:rFonts w:ascii="仿宋_GB2312" w:eastAsia="仿宋_GB2312"/>
          <w:sz w:val="32"/>
          <w:szCs w:val="32"/>
        </w:rPr>
        <w:t xml:space="preserve"> </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4.年末结转和结余：反映单位按有关规定结转到下年或以后年度继续使用的资金。</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 xml:space="preserve"> 社会保障和就业支出（类）人力资源和社会保障管理事务（款）行政运行（项）：反映行政单位（包括实行公务员管理的事业单位）的基本支出。</w:t>
      </w:r>
    </w:p>
    <w:p>
      <w:pPr>
        <w:pStyle w:val="3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 xml:space="preserve"> 社会保障和就业支出（类）人力资源和社会保障管理事务（款）一般行政管理事务（项）：反映行政单位（包括实行公务员管理的事业单位）未单独设置顶级科目其他项目支出。</w:t>
      </w:r>
    </w:p>
    <w:p>
      <w:pPr>
        <w:pStyle w:val="3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rPr>
        <w:t>社会保障和就业支出（类）人力资源和社会保障管理事务（款）</w:t>
      </w:r>
      <w:r>
        <w:rPr>
          <w:rFonts w:hint="eastAsia" w:ascii="仿宋_GB2312" w:eastAsia="仿宋_GB2312"/>
          <w:sz w:val="32"/>
          <w:szCs w:val="32"/>
          <w:lang w:val="en-US" w:eastAsia="zh-CN"/>
        </w:rPr>
        <w:t>综合业务管理</w:t>
      </w:r>
      <w:r>
        <w:rPr>
          <w:rFonts w:hint="eastAsia" w:ascii="仿宋_GB2312" w:eastAsia="仿宋_GB2312"/>
          <w:sz w:val="32"/>
          <w:szCs w:val="32"/>
        </w:rPr>
        <w:t>（项）：</w:t>
      </w:r>
      <w:r>
        <w:rPr>
          <w:rFonts w:hint="eastAsia" w:ascii="仿宋_GB2312" w:eastAsia="仿宋_GB2312"/>
          <w:sz w:val="32"/>
          <w:szCs w:val="32"/>
          <w:lang w:val="en-US" w:eastAsia="zh-CN"/>
        </w:rPr>
        <w:t>反映</w:t>
      </w:r>
      <w:r>
        <w:rPr>
          <w:rFonts w:hint="eastAsia" w:ascii="仿宋_GB2312" w:eastAsia="仿宋_GB2312"/>
          <w:sz w:val="32"/>
          <w:szCs w:val="32"/>
        </w:rPr>
        <w:t>人力资源和社会保障管理</w:t>
      </w:r>
      <w:r>
        <w:rPr>
          <w:rFonts w:hint="eastAsia" w:ascii="仿宋_GB2312" w:eastAsia="仿宋_GB2312"/>
          <w:sz w:val="32"/>
          <w:szCs w:val="32"/>
          <w:lang w:val="en-US" w:eastAsia="zh-CN"/>
        </w:rPr>
        <w:t>方面综合性管理事务支出。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 社会保障和就业支出（类）人力资源和社会保障管理事务（款）就业管理事务（项）：反映就业</w:t>
      </w:r>
      <w:r>
        <w:rPr>
          <w:rFonts w:ascii="仿宋_GB2312" w:eastAsia="仿宋_GB2312"/>
          <w:sz w:val="32"/>
          <w:szCs w:val="32"/>
        </w:rPr>
        <w:t>和职业技能鉴定管理方面的支出</w:t>
      </w:r>
      <w:r>
        <w:rPr>
          <w:rFonts w:hint="eastAsia" w:ascii="仿宋_GB2312" w:eastAsia="仿宋_GB2312"/>
          <w:sz w:val="32"/>
          <w:szCs w:val="32"/>
        </w:rPr>
        <w:t>。</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 社会保障和就业支出（类）人力资源和社会保障管理事务（款）社会保险业务管理事务（项）：反映社会保险业务管理和基金监督方面的支出。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0</w:t>
      </w:r>
      <w:r>
        <w:rPr>
          <w:rFonts w:hint="eastAsia" w:ascii="仿宋_GB2312" w:eastAsia="仿宋_GB2312"/>
          <w:sz w:val="32"/>
          <w:szCs w:val="32"/>
        </w:rPr>
        <w:t>. 社会保障和就业支出（类）人力资源和社会保障管理事务（款）信息化建设（项）：反映人力资源和社会保障部门用于信息化建设、运行维护和数据分析等方面的支出，如：金保工程、社会保障卡建设和运行维护、人力资源市场信息化等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 社会保障和就业支出（类）人力资源和社会保障管理事务（款）社会保险经办机构（项）：反映社会保险经办机构开展业务工作的支出。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 社会保障和就业支出（类）人力资源和社会保障管理事务（款）劳动关系和</w:t>
      </w:r>
      <w:r>
        <w:rPr>
          <w:rFonts w:hint="eastAsia" w:ascii="仿宋_GB2312" w:eastAsia="仿宋_GB2312"/>
          <w:sz w:val="32"/>
          <w:szCs w:val="32"/>
          <w:lang w:val="en-US" w:eastAsia="zh-CN"/>
        </w:rPr>
        <w:t>维权</w:t>
      </w:r>
      <w:r>
        <w:rPr>
          <w:rFonts w:hint="eastAsia" w:ascii="仿宋_GB2312" w:eastAsia="仿宋_GB2312"/>
          <w:sz w:val="32"/>
          <w:szCs w:val="32"/>
        </w:rPr>
        <w:t>（项）：反映劳动关系和维权事务支出。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 社会保障和就业支出（类）人力资源和社会保障管理事务（款）劳动人事争议调解仲裁（项）：反映仲裁机构实体化建设、办案经费、调解仲裁能力建设等支出。</w:t>
      </w:r>
    </w:p>
    <w:p>
      <w:pPr>
        <w:pStyle w:val="3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.社会保障和就业支出（类）人力资源和社会保障管理事务（款）</w:t>
      </w:r>
      <w:r>
        <w:rPr>
          <w:rFonts w:hint="eastAsia" w:ascii="仿宋_GB2312" w:eastAsia="仿宋_GB2312"/>
          <w:sz w:val="32"/>
          <w:szCs w:val="32"/>
          <w:lang w:val="en-US" w:eastAsia="zh-CN"/>
        </w:rPr>
        <w:t>政府特殊津贴</w:t>
      </w:r>
      <w:r>
        <w:rPr>
          <w:rFonts w:hint="eastAsia" w:ascii="仿宋_GB2312" w:eastAsia="仿宋_GB2312"/>
          <w:sz w:val="32"/>
          <w:szCs w:val="32"/>
        </w:rPr>
        <w:t>（项）：反映</w:t>
      </w:r>
      <w:r>
        <w:rPr>
          <w:rFonts w:hint="eastAsia" w:ascii="仿宋_GB2312" w:eastAsia="仿宋_GB2312"/>
          <w:sz w:val="32"/>
          <w:szCs w:val="32"/>
          <w:lang w:val="en-US" w:eastAsia="zh-CN"/>
        </w:rPr>
        <w:t>与政府津贴相关的支出。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.社会保障和就业支出（类）人力资源和社会保障管理事务（款）事业运行（项）：反映事业单位的基本支出，不包括行政单位（包括实行公务员管理的事业单位）后勤服务中心、医务室等附属事业单位。</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 社会保障和就业支出（类）人力资源和社会保障管理事务（款）其他人力资源和社会保障管理事务支出（项）：反映除上述项目以外其他人力资源和社会保障管理事务方面的支出。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7</w:t>
      </w:r>
      <w:r>
        <w:rPr>
          <w:rFonts w:hint="eastAsia" w:ascii="仿宋_GB2312" w:eastAsia="仿宋_GB2312"/>
          <w:sz w:val="32"/>
          <w:szCs w:val="32"/>
        </w:rPr>
        <w:t>. 社会保障和就业支出（类）行政事业单位</w:t>
      </w:r>
      <w:r>
        <w:rPr>
          <w:rFonts w:hint="eastAsia" w:ascii="仿宋_GB2312" w:eastAsia="仿宋_GB2312"/>
          <w:sz w:val="32"/>
          <w:szCs w:val="32"/>
          <w:lang w:val="en-US" w:eastAsia="zh-CN"/>
        </w:rPr>
        <w:t>养老支出</w:t>
      </w:r>
      <w:r>
        <w:rPr>
          <w:rFonts w:hint="eastAsia" w:ascii="仿宋_GB2312" w:eastAsia="仿宋_GB2312"/>
          <w:sz w:val="32"/>
          <w:szCs w:val="32"/>
        </w:rPr>
        <w:t>（款）行政单位离退休（项）：反映行政单位的行政单位（包括实行公务员管理的事业单位）开支的离退休支出。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 社会保障和就业支出（类）行政事业单位</w:t>
      </w:r>
      <w:r>
        <w:rPr>
          <w:rFonts w:hint="eastAsia" w:ascii="仿宋_GB2312" w:eastAsia="仿宋_GB2312"/>
          <w:sz w:val="32"/>
          <w:szCs w:val="32"/>
          <w:lang w:val="en-US" w:eastAsia="zh-CN"/>
        </w:rPr>
        <w:t>养老支出</w:t>
      </w:r>
      <w:r>
        <w:rPr>
          <w:rFonts w:hint="eastAsia" w:ascii="仿宋_GB2312" w:eastAsia="仿宋_GB2312"/>
          <w:sz w:val="32"/>
          <w:szCs w:val="32"/>
        </w:rPr>
        <w:t>（款）机关事业单位基本养老保险缴费支出（项）：反映机关事业单位实施养老保险制度有单位缴纳的基本养老保险费支出。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hint="eastAsia" w:ascii="仿宋_GB2312" w:eastAsia="仿宋_GB2312"/>
          <w:sz w:val="32"/>
          <w:szCs w:val="32"/>
        </w:rPr>
        <w:t>. 社会保障和就业支出（类）行政事业单位</w:t>
      </w:r>
      <w:r>
        <w:rPr>
          <w:rFonts w:hint="eastAsia" w:ascii="仿宋_GB2312" w:eastAsia="仿宋_GB2312"/>
          <w:sz w:val="32"/>
          <w:szCs w:val="32"/>
          <w:lang w:val="en-US" w:eastAsia="zh-CN"/>
        </w:rPr>
        <w:t>养老支出</w:t>
      </w:r>
      <w:r>
        <w:rPr>
          <w:rFonts w:hint="eastAsia" w:ascii="仿宋_GB2312" w:eastAsia="仿宋_GB2312"/>
          <w:sz w:val="32"/>
          <w:szCs w:val="32"/>
        </w:rPr>
        <w:t>（款）机关事业单位职业年金缴费支出（项）：反映机关事业单位实施养老保险制度由单位实际缴纳的职业年金支出。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 社会保障和就业支出（类）就业补助（款）其他就业补助支出（项）：反映除上述项目以外按规定确定的其他用于促进就业的补助支出。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 社会保障和就业支出（类）抚恤（款）死亡抚恤（项）：反映按规定用于烈士和牺牲、病故人员家属的一次性和定期抚恤金以及丧葬补助费</w:t>
      </w:r>
      <w:r>
        <w:rPr>
          <w:rFonts w:hint="eastAsia" w:ascii="仿宋_GB2312" w:eastAsia="仿宋_GB2312"/>
          <w:sz w:val="32"/>
          <w:szCs w:val="32"/>
          <w:lang w:val="en-US" w:eastAsia="zh-CN"/>
        </w:rPr>
        <w:t>以及烈士褒扬金</w:t>
      </w:r>
      <w:r>
        <w:rPr>
          <w:rFonts w:hint="eastAsia" w:ascii="仿宋_GB2312" w:eastAsia="仿宋_GB2312"/>
          <w:sz w:val="32"/>
          <w:szCs w:val="32"/>
        </w:rPr>
        <w:t>。</w:t>
      </w:r>
    </w:p>
    <w:p>
      <w:pPr>
        <w:pStyle w:val="3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 xml:space="preserve">. </w:t>
      </w:r>
      <w:r>
        <w:rPr>
          <w:rFonts w:hint="eastAsia" w:ascii="仿宋_GB2312" w:eastAsia="仿宋_GB2312"/>
          <w:sz w:val="32"/>
          <w:szCs w:val="32"/>
          <w:lang w:val="en-US" w:eastAsia="zh-CN"/>
        </w:rPr>
        <w:t>卫生健康支出</w:t>
      </w:r>
      <w:r>
        <w:rPr>
          <w:rFonts w:hint="eastAsia" w:ascii="仿宋_GB2312" w:eastAsia="仿宋_GB2312"/>
          <w:sz w:val="32"/>
          <w:szCs w:val="32"/>
        </w:rPr>
        <w:t>（类）行政事业单位医疗（款）行政单位医疗（项）：反映财政部门安排的行政单位</w:t>
      </w:r>
      <w:r>
        <w:rPr>
          <w:rFonts w:hint="eastAsia" w:ascii="仿宋_GB2312" w:eastAsia="仿宋_GB2312"/>
          <w:sz w:val="32"/>
          <w:szCs w:val="32"/>
          <w:lang w:eastAsia="zh-CN"/>
        </w:rPr>
        <w:t>（</w:t>
      </w:r>
      <w:r>
        <w:rPr>
          <w:rFonts w:hint="eastAsia" w:ascii="仿宋_GB2312" w:eastAsia="仿宋_GB2312"/>
          <w:sz w:val="32"/>
          <w:szCs w:val="32"/>
          <w:lang w:val="en-US" w:eastAsia="zh-CN"/>
        </w:rPr>
        <w:t>包括实行公务员管理的事业单位，下同</w:t>
      </w:r>
      <w:r>
        <w:rPr>
          <w:rFonts w:hint="eastAsia" w:ascii="仿宋_GB2312" w:eastAsia="仿宋_GB2312"/>
          <w:sz w:val="32"/>
          <w:szCs w:val="32"/>
          <w:lang w:eastAsia="zh-CN"/>
        </w:rPr>
        <w:t>）</w:t>
      </w:r>
      <w:r>
        <w:rPr>
          <w:rFonts w:hint="eastAsia" w:ascii="仿宋_GB2312" w:eastAsia="仿宋_GB2312"/>
          <w:sz w:val="32"/>
          <w:szCs w:val="32"/>
        </w:rPr>
        <w:t>基本医疗保险缴费经费、未参加医疗保险的行政单位公费医疗经费，按国家规定享受离退休人员、红军老战士待遇人员的医疗经费。</w:t>
      </w:r>
    </w:p>
    <w:p>
      <w:pPr>
        <w:pStyle w:val="12"/>
        <w:spacing w:line="576" w:lineRule="exact"/>
        <w:ind w:firstLine="640" w:firstLineChars="200"/>
        <w:rPr>
          <w:rStyle w:val="18"/>
          <w:rFonts w:hint="default" w:ascii="仿宋" w:hAnsi="仿宋" w:eastAsia="仿宋"/>
          <w:b w:val="0"/>
          <w:bCs/>
          <w:color w:val="000000"/>
          <w:sz w:val="32"/>
          <w:szCs w:val="32"/>
          <w:lang w:val="en-US"/>
        </w:rPr>
      </w:pPr>
      <w:r>
        <w:rPr>
          <w:rFonts w:hint="eastAsia" w:ascii="仿宋_GB2312" w:hAnsi="Calibri" w:eastAsia="仿宋_GB2312" w:cs="仿宋"/>
          <w:color w:val="000000"/>
          <w:sz w:val="32"/>
          <w:szCs w:val="32"/>
          <w:lang w:val="en-US" w:eastAsia="zh-CN" w:bidi="ar-SA"/>
        </w:rPr>
        <w:t>23.</w:t>
      </w:r>
      <w:r>
        <w:rPr>
          <w:rFonts w:hint="eastAsia" w:ascii="仿宋_GB2312" w:eastAsia="仿宋_GB2312"/>
          <w:sz w:val="32"/>
          <w:szCs w:val="32"/>
          <w:lang w:val="en-US" w:eastAsia="zh-CN"/>
        </w:rPr>
        <w:t>卫生健康支出</w:t>
      </w:r>
      <w:r>
        <w:rPr>
          <w:rFonts w:hint="eastAsia" w:ascii="仿宋_GB2312" w:hAnsi="Calibri" w:eastAsia="仿宋_GB2312" w:cs="仿宋"/>
          <w:color w:val="000000"/>
          <w:sz w:val="32"/>
          <w:szCs w:val="32"/>
          <w:lang w:val="en-US" w:eastAsia="zh-CN" w:bidi="ar-SA"/>
        </w:rPr>
        <w:t>（类）行政事业单位医疗（款）事业单位医疗（项）：反映财政部门安排的事业单位基本医疗保险缴费经费，未参加医疗保险的事业单位的公费医疗经费，按国家规定享受离休人员待遇的医疗经费。</w:t>
      </w:r>
    </w:p>
    <w:p>
      <w:pPr>
        <w:pStyle w:val="3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4</w:t>
      </w:r>
      <w:r>
        <w:rPr>
          <w:rFonts w:hint="eastAsia" w:ascii="仿宋_GB2312" w:eastAsia="仿宋_GB2312"/>
          <w:sz w:val="32"/>
          <w:szCs w:val="32"/>
        </w:rPr>
        <w:t>.农林水支出（类）普惠金融发展支出（款）创业担保贷款贴息</w:t>
      </w:r>
      <w:r>
        <w:rPr>
          <w:rFonts w:hint="eastAsia" w:ascii="仿宋_GB2312" w:eastAsia="仿宋_GB2312"/>
          <w:sz w:val="32"/>
          <w:szCs w:val="32"/>
          <w:lang w:val="en-US" w:eastAsia="zh-CN"/>
        </w:rPr>
        <w:t>及奖补</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sz w:val="32"/>
          <w:szCs w:val="32"/>
          <w:lang w:val="en-US" w:eastAsia="zh-CN"/>
        </w:rPr>
        <w:t>反映财政用于符合条件的人员和小微企业创业担保贷款的贴息及奖补支出。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5</w:t>
      </w:r>
      <w:r>
        <w:rPr>
          <w:rFonts w:hint="eastAsia" w:ascii="仿宋_GB2312" w:eastAsia="仿宋_GB2312"/>
          <w:sz w:val="32"/>
          <w:szCs w:val="32"/>
        </w:rPr>
        <w:t>. 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仿宋_GB2312" w:eastAsia="仿宋_GB2312" w:cs="黑体"/>
          <w:color w:val="auto"/>
          <w:sz w:val="32"/>
          <w:szCs w:val="32"/>
          <w:highlight w:val="none"/>
        </w:rPr>
      </w:pPr>
      <w:r>
        <w:rPr>
          <w:rFonts w:hint="eastAsia" w:ascii="仿宋_GB2312" w:eastAsia="仿宋_GB2312"/>
          <w:sz w:val="32"/>
          <w:szCs w:val="32"/>
          <w:lang w:val="en-US" w:eastAsia="zh-CN"/>
        </w:rPr>
        <w:t>29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0"/>
          <w:rFonts w:hint="eastAsia" w:ascii="黑体" w:hAnsi="黑体" w:eastAsia="黑体"/>
          <w:b w:val="0"/>
          <w:color w:val="auto"/>
          <w:highlight w:val="none"/>
          <w:lang w:eastAsia="zh-CN"/>
        </w:rPr>
      </w:pPr>
      <w:bookmarkStart w:id="99" w:name="_Toc15377226"/>
      <w:r>
        <w:rPr>
          <w:rFonts w:ascii="宋体"/>
          <w:b/>
          <w:color w:val="auto"/>
          <w:sz w:val="44"/>
          <w:szCs w:val="44"/>
          <w:highlight w:val="none"/>
        </w:rPr>
        <w:br w:type="page"/>
      </w:r>
      <w:bookmarkStart w:id="100" w:name="_Toc24998"/>
      <w:bookmarkStart w:id="101" w:name="_Toc2214"/>
      <w:bookmarkStart w:id="102" w:name="_Toc15396614"/>
      <w:r>
        <w:rPr>
          <w:rFonts w:hint="eastAsia" w:ascii="黑体" w:hAnsi="黑体" w:eastAsia="黑体"/>
          <w:color w:val="auto"/>
          <w:sz w:val="44"/>
          <w:szCs w:val="44"/>
          <w:highlight w:val="none"/>
        </w:rPr>
        <w:t>第</w:t>
      </w:r>
      <w:r>
        <w:rPr>
          <w:rStyle w:val="20"/>
          <w:rFonts w:hint="eastAsia" w:ascii="黑体" w:hAnsi="黑体" w:eastAsia="黑体"/>
          <w:b w:val="0"/>
          <w:color w:val="auto"/>
          <w:highlight w:val="none"/>
        </w:rPr>
        <w:t>四部分 附件</w:t>
      </w:r>
      <w:bookmarkEnd w:id="100"/>
      <w:bookmarkEnd w:id="101"/>
      <w:bookmarkEnd w:id="102"/>
    </w:p>
    <w:p>
      <w:pPr>
        <w:keepNext w:val="0"/>
        <w:keepLines w:val="0"/>
        <w:pageBreakBefore w:val="0"/>
        <w:kinsoku/>
        <w:wordWrap/>
        <w:overflowPunct/>
        <w:topLinePunct w:val="0"/>
        <w:autoSpaceDE/>
        <w:autoSpaceDN/>
        <w:bidi w:val="0"/>
        <w:spacing w:line="572" w:lineRule="exact"/>
        <w:jc w:val="left"/>
        <w:textAlignment w:val="auto"/>
        <w:outlineLvl w:val="1"/>
        <w:rPr>
          <w:rFonts w:ascii="方正小标宋简体" w:hAnsi="方正小标宋简体" w:eastAsia="方正小标宋简体" w:cs="方正小标宋简体"/>
          <w:color w:val="auto"/>
          <w:sz w:val="44"/>
          <w:szCs w:val="44"/>
          <w:highlight w:val="none"/>
        </w:rPr>
      </w:pPr>
      <w:bookmarkStart w:id="103" w:name="_Toc24012"/>
      <w:bookmarkStart w:id="104" w:name="_Toc6519"/>
      <w:bookmarkStart w:id="105" w:name="_Toc3747"/>
      <w:r>
        <w:rPr>
          <w:rFonts w:hint="eastAsia" w:ascii="黑体" w:hAnsi="黑体" w:eastAsia="黑体" w:cs="黑体"/>
          <w:color w:val="auto"/>
          <w:sz w:val="32"/>
          <w:szCs w:val="32"/>
          <w:highlight w:val="none"/>
        </w:rPr>
        <w:t>附件</w:t>
      </w:r>
      <w:bookmarkEnd w:id="103"/>
      <w:bookmarkEnd w:id="104"/>
      <w:bookmarkEnd w:id="105"/>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32"/>
          <w:szCs w:val="32"/>
          <w:highlight w:val="none"/>
          <w:shd w:val="clear" w:color="auto" w:fill="FFFFFF"/>
        </w:rPr>
      </w:pPr>
      <w:r>
        <w:rPr>
          <w:rFonts w:hint="eastAsia" w:ascii="宋体" w:hAnsi="宋体" w:eastAsia="宋体"/>
          <w:b/>
          <w:color w:val="auto"/>
          <w:sz w:val="32"/>
          <w:szCs w:val="32"/>
          <w:highlight w:val="none"/>
          <w:shd w:val="clear" w:color="auto" w:fill="FFFFFF"/>
        </w:rPr>
        <w:t>20</w:t>
      </w:r>
      <w:r>
        <w:rPr>
          <w:rFonts w:hint="eastAsia" w:ascii="宋体" w:hAnsi="宋体" w:eastAsia="宋体"/>
          <w:b/>
          <w:color w:val="auto"/>
          <w:sz w:val="32"/>
          <w:szCs w:val="32"/>
          <w:highlight w:val="none"/>
          <w:shd w:val="clear" w:color="auto" w:fill="FFFFFF"/>
          <w:lang w:val="en-US" w:eastAsia="zh-CN"/>
        </w:rPr>
        <w:t>23</w:t>
      </w:r>
      <w:r>
        <w:rPr>
          <w:rFonts w:hint="eastAsia" w:ascii="宋体" w:hAnsi="宋体" w:eastAsia="宋体"/>
          <w:b/>
          <w:color w:val="auto"/>
          <w:sz w:val="32"/>
          <w:szCs w:val="32"/>
          <w:highlight w:val="none"/>
          <w:shd w:val="clear" w:color="auto" w:fill="FFFFFF"/>
        </w:rPr>
        <w:t>年</w:t>
      </w:r>
      <w:r>
        <w:rPr>
          <w:rFonts w:hint="eastAsia" w:ascii="宋体" w:hAnsi="宋体"/>
          <w:b/>
          <w:color w:val="auto"/>
          <w:sz w:val="32"/>
          <w:szCs w:val="32"/>
          <w:highlight w:val="none"/>
          <w:shd w:val="clear" w:color="auto" w:fill="FFFFFF"/>
          <w:lang w:eastAsia="zh-CN"/>
        </w:rPr>
        <w:t>市</w:t>
      </w:r>
      <w:r>
        <w:rPr>
          <w:rFonts w:hint="eastAsia" w:ascii="宋体" w:hAnsi="宋体" w:eastAsia="宋体"/>
          <w:b/>
          <w:color w:val="auto"/>
          <w:sz w:val="32"/>
          <w:szCs w:val="32"/>
          <w:highlight w:val="none"/>
          <w:shd w:val="clear" w:color="auto" w:fill="FFFFFF"/>
        </w:rPr>
        <w:t>级部门整体绩效评价报告</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广元市人力资源和社会保障局</w:t>
      </w:r>
      <w:r>
        <w:rPr>
          <w:rFonts w:hint="eastAsia" w:ascii="仿宋_GB2312" w:hAnsi="仿宋_GB2312" w:eastAsia="仿宋_GB2312" w:cs="仿宋_GB2312"/>
          <w:color w:val="auto"/>
          <w:sz w:val="32"/>
          <w:szCs w:val="32"/>
          <w:highlight w:val="none"/>
          <w:shd w:val="clear" w:color="auto" w:fill="FFFFFF"/>
        </w:rPr>
        <w:t>机关和下属单位）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1"/>
        <w:rPr>
          <w:rFonts w:hint="eastAsia" w:ascii="黑体" w:hAnsi="宋体" w:eastAsia="黑体" w:cs="宋体"/>
          <w:b w:val="0"/>
          <w:bCs w:val="0"/>
          <w:color w:val="000000"/>
          <w:kern w:val="0"/>
          <w:sz w:val="32"/>
          <w:szCs w:val="32"/>
          <w:highlight w:val="none"/>
          <w:shd w:val="clear" w:color="auto" w:fill="FFFFFF"/>
          <w:lang w:val="zh-CN"/>
        </w:rPr>
      </w:pPr>
      <w:bookmarkStart w:id="106" w:name="_Toc22846"/>
      <w:bookmarkStart w:id="107" w:name="_Toc7261"/>
      <w:bookmarkStart w:id="108" w:name="_Toc12702"/>
      <w:bookmarkStart w:id="109" w:name="_Toc18803"/>
      <w:r>
        <w:rPr>
          <w:rFonts w:hint="eastAsia" w:ascii="黑体" w:hAnsi="宋体" w:eastAsia="黑体" w:cs="宋体"/>
          <w:b w:val="0"/>
          <w:bCs w:val="0"/>
          <w:color w:val="000000"/>
          <w:kern w:val="0"/>
          <w:sz w:val="32"/>
          <w:szCs w:val="32"/>
          <w:highlight w:val="none"/>
          <w:shd w:val="clear" w:color="auto" w:fill="FFFFFF"/>
          <w:lang w:val="zh-CN"/>
        </w:rPr>
        <w:t>部门（单位）基本情况</w:t>
      </w:r>
      <w:bookmarkEnd w:id="106"/>
      <w:bookmarkEnd w:id="107"/>
      <w:bookmarkEnd w:id="108"/>
      <w:bookmarkEnd w:id="109"/>
    </w:p>
    <w:p>
      <w:pPr>
        <w:keepNext w:val="0"/>
        <w:keepLines w:val="0"/>
        <w:pageBreakBefore w:val="0"/>
        <w:widowControl w:val="0"/>
        <w:numPr>
          <w:ilvl w:val="0"/>
          <w:numId w:val="7"/>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机构组成。</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Times New Roman" w:hAnsi="Times New Roman" w:eastAsia="仿宋_GB2312" w:cs="Times New Roman"/>
          <w:sz w:val="32"/>
          <w:lang w:val="zh-CN"/>
        </w:rPr>
      </w:pPr>
      <w:r>
        <w:rPr>
          <w:rFonts w:hint="eastAsia" w:ascii="仿宋_GB2312" w:hAnsi="Times New Roman" w:eastAsia="仿宋_GB2312" w:cs="Times New Roman"/>
          <w:sz w:val="32"/>
          <w:szCs w:val="32"/>
        </w:rPr>
        <w:t>广元市人力资源和社会保障局直属二级单位1</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个，其中行政单位1个，参照公务员法管理的事业单位4个，其他事业单位6个。独立预算单位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个：广元市人力资源和社会保障局机关、广元市就业创业促进中心、广元市农民工服务中心、广元市社会保险事务中心、广元市劳动人事争议仲裁院、广元市人才交流中心、广元市人事考试中心。</w:t>
      </w:r>
    </w:p>
    <w:p>
      <w:pPr>
        <w:keepNext w:val="0"/>
        <w:keepLines w:val="0"/>
        <w:pageBreakBefore w:val="0"/>
        <w:widowControl w:val="0"/>
        <w:numPr>
          <w:ilvl w:val="0"/>
          <w:numId w:val="7"/>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outlineLvl w:val="2"/>
        <w:rPr>
          <w:rFonts w:hint="eastAsia" w:ascii="Times New Roman" w:hAnsi="Times New Roman" w:eastAsia="仿宋_GB2312" w:cs="Times New Roman"/>
          <w:sz w:val="32"/>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机构职能和人员概况。</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outlineLvl w:val="3"/>
        <w:rPr>
          <w:rFonts w:hint="default" w:ascii="仿宋_GB2312" w:hAnsi="Times New Roman" w:eastAsia="楷体_GB2312" w:cs="Times New Roman"/>
          <w:kern w:val="2"/>
          <w:sz w:val="32"/>
          <w:szCs w:val="32"/>
          <w:lang w:val="en-US" w:eastAsia="zh-CN" w:bidi="ar-SA"/>
        </w:rPr>
      </w:pPr>
      <w:r>
        <w:rPr>
          <w:rFonts w:hint="eastAsia" w:ascii="楷体_GB2312" w:hAnsi="楷体_GB2312" w:eastAsia="楷体_GB2312" w:cs="楷体_GB2312"/>
          <w:b w:val="0"/>
          <w:bCs w:val="0"/>
          <w:color w:val="000000"/>
          <w:kern w:val="0"/>
          <w:sz w:val="32"/>
          <w:szCs w:val="32"/>
          <w:highlight w:val="none"/>
          <w:shd w:val="clear" w:color="auto" w:fill="FFFFFF"/>
          <w:lang w:val="en-US" w:eastAsia="zh-CN" w:bidi="ar-SA"/>
        </w:rPr>
        <w:t>1.</w:t>
      </w:r>
      <w:r>
        <w:rPr>
          <w:rFonts w:hint="eastAsia" w:ascii="楷体_GB2312" w:hAnsi="楷体_GB2312" w:eastAsia="楷体_GB2312" w:cs="楷体_GB2312"/>
          <w:b w:val="0"/>
          <w:bCs w:val="0"/>
          <w:color w:val="000000"/>
          <w:kern w:val="0"/>
          <w:sz w:val="32"/>
          <w:szCs w:val="32"/>
          <w:highlight w:val="none"/>
          <w:shd w:val="clear" w:color="auto" w:fill="FFFFFF"/>
          <w:lang w:val="zh-CN" w:eastAsia="zh-CN" w:bidi="ar-SA"/>
        </w:rPr>
        <w:t>机构职能</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拟订全市人力资源和社会保障事业发展规划、政策并组织实施和监督检查。起草地方性法规、规章草案。</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拟订全市人力资源市场发展规划和人力资源流动政策并组织实施，建立全市统一规范的人力资源市场，促进人力资源合理流动、有效配置。</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负责促进就业工作，拟订统筹城乡的就业发展规划和政策，完善公共就业创业服务体系，拟订并组织落实创业、就业援助制度，完善职业资格制度，统筹建立面向城乡劳动者的职业培训制度，牵头拟订并实施高校毕业生就业政策。</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决算草案，参与制定全市社会保障基金投资政策。会同有关部门实施全民参保计划。拟订人力资源和社会保障信息化建设总体规划、年度计划，制订相关制度、标准和规范并组织实施。指导、督促企业参加工伤保险。</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负责就业、失业和相关社会保险基金预测预警和信息引导，拟订应对预案，实施预防、调节和控制，保持就业形势稳定和社会保险基金总体收支平衡。</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牵头推进深化职称制度改革，拟订专业技术人员管理、继续教育和博士后管理等政策，负责高层次专业技术人才选拔和培养工作，拟订吸引国（境）外专家、留学人员来广（回广）工作或定居政策。组织拟订技能人才培养、评价、使用和激励制度。贯彻落实职业资格制度，健全职业技能多元化评价政策。指导、监督各级各类技工学校、民办职业培训机构按国家和省有关规定履行安全管理责任。</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贯彻执行事业单位人员工资收入分配政策和企业职工工资收入分配调控政策，贯彻落实企事业单位人员工资正常增长和支付保障政策，贯彻执行企事业单位人员福利和离退休政策。</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组织实施国家表彰奖励制度，综合管理政府奖励表彰工作，承担评比达标表彰等工作，根据授权承办以市委、市政府名义开展的奖励表彰活动。承办提请市人大常委会和市政府决定的人事任免事项。</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贯彻执行农民工工作相关政策和规划，协调解决重点难点问题，维护农民工合法权益。负责将安全生产纳入农民工技能培训内容。</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负</w:t>
      </w:r>
      <w:r>
        <w:rPr>
          <w:rFonts w:hint="eastAsia" w:ascii="仿宋_GB2312" w:hAnsi="Times New Roman" w:eastAsia="仿宋_GB2312" w:cs="Times New Roman"/>
          <w:spacing w:val="-6"/>
          <w:sz w:val="32"/>
          <w:szCs w:val="32"/>
        </w:rPr>
        <w:t>责人力资源和社会保障领域内的对外交流与合作工作。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承担职责范围内的安全生产和职业健康、生态环境保护、审批服务便民化等工作。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14</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完成市委、市政府交办的其他事项。</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职能</w:t>
      </w:r>
      <w:r>
        <w:rPr>
          <w:rFonts w:hint="eastAsia" w:ascii="仿宋_GB2312" w:hAnsi="Times New Roman" w:eastAsia="仿宋_GB2312" w:cs="Times New Roman"/>
          <w:spacing w:val="-6"/>
          <w:sz w:val="32"/>
          <w:szCs w:val="32"/>
        </w:rPr>
        <w:t>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keepNext w:val="0"/>
        <w:keepLines w:val="0"/>
        <w:pageBreakBefore w:val="0"/>
        <w:shd w:val="clear"/>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16</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有关职责分工。高校毕业生就业政策由市人力资源社会保障局牵头，会同教育等部门拟订。高校毕业生离校前的就业指导和服务工作，由教育部门负责；高校毕业生离校后的就业指导和服务工作，由市人力资源社会保障局负责。</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outlineLvl w:val="3"/>
        <w:rPr>
          <w:rFonts w:hint="eastAsia" w:ascii="楷体_GB2312" w:hAnsi="Times New Roman" w:eastAsia="楷体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w:t>
      </w:r>
      <w:r>
        <w:rPr>
          <w:rFonts w:hint="eastAsia" w:ascii="楷体_GB2312" w:hAnsi="Times New Roman" w:eastAsia="楷体_GB2312" w:cs="Times New Roman"/>
          <w:kern w:val="2"/>
          <w:sz w:val="32"/>
          <w:szCs w:val="32"/>
          <w:lang w:val="en-US" w:eastAsia="zh-CN" w:bidi="ar-SA"/>
        </w:rPr>
        <w:t>人员概况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楷体_GB2312" w:hAnsi="Times New Roman" w:eastAsia="楷体_GB2312" w:cs="Times New Roman"/>
          <w:sz w:val="32"/>
          <w:szCs w:val="32"/>
          <w:lang w:val="en-US" w:eastAsia="zh-CN"/>
        </w:rPr>
      </w:pPr>
      <w:r>
        <w:rPr>
          <w:rFonts w:hint="eastAsia" w:ascii="仿宋_GB2312" w:hAnsi="Times New Roman" w:eastAsia="仿宋_GB2312" w:cs="Times New Roman"/>
          <w:sz w:val="32"/>
          <w:szCs w:val="32"/>
        </w:rPr>
        <w:t>截至202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年末，核定编制总</w:t>
      </w:r>
      <w:r>
        <w:rPr>
          <w:rFonts w:hint="eastAsia" w:ascii="仿宋_GB2312" w:hAnsi="Times New Roman" w:eastAsia="仿宋_GB2312" w:cs="Times New Roman"/>
          <w:sz w:val="32"/>
          <w:szCs w:val="32"/>
          <w:shd w:val="clear"/>
        </w:rPr>
        <w:t>数</w:t>
      </w:r>
      <w:r>
        <w:rPr>
          <w:rFonts w:hint="eastAsia" w:ascii="仿宋_GB2312" w:hAnsi="Times New Roman" w:eastAsia="仿宋_GB2312" w:cs="Times New Roman"/>
          <w:sz w:val="32"/>
          <w:szCs w:val="32"/>
          <w:shd w:val="clear"/>
          <w:lang w:val="en-US" w:eastAsia="zh-CN"/>
        </w:rPr>
        <w:t>237</w:t>
      </w:r>
      <w:r>
        <w:rPr>
          <w:rFonts w:hint="eastAsia" w:ascii="仿宋_GB2312" w:hAnsi="Times New Roman" w:eastAsia="仿宋_GB2312" w:cs="Times New Roman"/>
          <w:sz w:val="32"/>
          <w:szCs w:val="32"/>
          <w:shd w:val="clear"/>
        </w:rPr>
        <w:t>名</w:t>
      </w:r>
      <w:r>
        <w:rPr>
          <w:rFonts w:hint="eastAsia" w:ascii="仿宋_GB2312" w:hAnsi="Times New Roman" w:eastAsia="仿宋_GB2312" w:cs="Times New Roman"/>
          <w:sz w:val="32"/>
          <w:szCs w:val="32"/>
        </w:rPr>
        <w:t>，在职人员</w:t>
      </w:r>
      <w:r>
        <w:rPr>
          <w:rFonts w:hint="eastAsia" w:ascii="仿宋_GB2312" w:hAnsi="Times New Roman" w:eastAsia="仿宋_GB2312" w:cs="Times New Roman"/>
          <w:sz w:val="32"/>
          <w:szCs w:val="32"/>
          <w:lang w:val="en-US" w:eastAsia="zh-CN"/>
        </w:rPr>
        <w:t>229</w:t>
      </w:r>
      <w:r>
        <w:rPr>
          <w:rFonts w:hint="eastAsia" w:ascii="仿宋_GB2312" w:hAnsi="Times New Roman" w:eastAsia="仿宋_GB2312" w:cs="Times New Roman"/>
          <w:sz w:val="32"/>
          <w:szCs w:val="32"/>
        </w:rPr>
        <w:t>人，离退休人员13</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人，其他人员（遗属）4人。</w:t>
      </w:r>
    </w:p>
    <w:p>
      <w:pPr>
        <w:keepNext w:val="0"/>
        <w:keepLines w:val="0"/>
        <w:pageBreakBefore w:val="0"/>
        <w:widowControl w:val="0"/>
        <w:numPr>
          <w:ilvl w:val="0"/>
          <w:numId w:val="7"/>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年度主要工作任务。</w:t>
      </w:r>
    </w:p>
    <w:p>
      <w:pPr>
        <w:keepNext w:val="0"/>
        <w:keepLines w:val="0"/>
        <w:pageBreakBefore w:val="0"/>
        <w:widowControl w:val="0"/>
        <w:numPr>
          <w:ilvl w:val="0"/>
          <w:numId w:val="0"/>
        </w:numPr>
        <w:kinsoku/>
        <w:wordWrap/>
        <w:overflowPunct/>
        <w:topLinePunct w:val="0"/>
        <w:autoSpaceDE/>
        <w:autoSpaceDN/>
        <w:bidi w:val="0"/>
        <w:adjustRightInd/>
        <w:snapToGrid/>
        <w:spacing w:after="120" w:line="576" w:lineRule="exact"/>
        <w:ind w:firstLine="640" w:firstLineChars="200"/>
        <w:jc w:val="both"/>
        <w:textAlignment w:val="auto"/>
        <w:rPr>
          <w:rFonts w:hint="eastAsia" w:ascii="仿宋_GB2312" w:hAnsi="Times New Roman" w:eastAsia="仿宋_GB2312" w:cs="Times New Roman"/>
          <w:kern w:val="2"/>
          <w:sz w:val="32"/>
          <w:szCs w:val="32"/>
          <w:lang w:val="zh-CN" w:eastAsia="zh-CN" w:bidi="ar-SA"/>
        </w:rPr>
      </w:pPr>
      <w:r>
        <w:rPr>
          <w:rFonts w:hint="eastAsia" w:ascii="仿宋_GB2312" w:hAnsi="Times New Roman" w:eastAsia="仿宋_GB2312" w:cs="Times New Roman"/>
          <w:kern w:val="2"/>
          <w:sz w:val="32"/>
          <w:szCs w:val="32"/>
          <w:lang w:val="en-US" w:eastAsia="zh-CN" w:bidi="ar-SA"/>
        </w:rPr>
        <w:t>全力以赴促就业稳就业保就业，坚持就业优先政策，抓好高校毕业生、脱贫人口等重点群体就业，推进基层公共就业创业服务能力提升试点，建设一批公共就业创业服务示范乡镇</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街道）；加强驻外农民工工作站、村社区农民工服务机构建设，打造一批示范站点；全面实施县以下事业单位建立管理岗位职员等级晋升制度；扎实做好高层次人才引进工作；加强职业技能培训，重点抓好“广元妹”家政服务品牌、曾家山旅游渡假区、昭化家居产业城等从业人员的技能培训工作；聚焦聚力保障企业用工；建成省级人力资源服务产业园，争创国家级川陕甘区域中心人力资源市场；研究制定广元人社法治宣传教育第八个五年规划和法治建设实施方案（2021-2025年）建设和政策宣传；制定全市人社行政权力事项责任清单和权责指导清单，深入实施全民参保计划，推动重点群体参加工伤保险政策落实落地（基层快递网点优先参加工伤保险，公务员和参公人员参加工伤保险），推动新就业形态就业人员职业伤害保障试点；扎实做好敏感时期信访维稳工作；深入推进干部纪律作风整顿，持续抓好干部纪律作风整顿工作，提高干部队伍管理水平和服务质效；根据上级部署落实学习贯彻宣传党的二十大和省第十二次党代会精神；打造一个劳动关系工作示范点（整合基层调解组织、劳动关系协调员工作室、流动仲裁庭、劳动保障监察执法监测点、电子合同签订等示范工作）；根据全省进度适时发布全市最低工资标准。</w:t>
      </w:r>
    </w:p>
    <w:p>
      <w:pPr>
        <w:keepNext w:val="0"/>
        <w:keepLines w:val="0"/>
        <w:pageBreakBefore w:val="0"/>
        <w:widowControl w:val="0"/>
        <w:numPr>
          <w:ilvl w:val="0"/>
          <w:numId w:val="7"/>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部门整体支出绩效目标。</w:t>
      </w:r>
    </w:p>
    <w:p>
      <w:pPr>
        <w:keepNext w:val="0"/>
        <w:keepLines w:val="0"/>
        <w:pageBreakBefore w:val="0"/>
        <w:widowControl w:val="0"/>
        <w:numPr>
          <w:ilvl w:val="0"/>
          <w:numId w:val="0"/>
        </w:numPr>
        <w:kinsoku/>
        <w:wordWrap/>
        <w:overflowPunct/>
        <w:topLinePunct w:val="0"/>
        <w:autoSpaceDE/>
        <w:autoSpaceDN/>
        <w:bidi w:val="0"/>
        <w:adjustRightInd/>
        <w:snapToGrid/>
        <w:spacing w:after="120" w:line="57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1.积极落实《广元市促进就业十条措施》等减负稳岗扩就业政策，城镇新增就业人数3.35万人以上。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w:t>
      </w:r>
      <w:r>
        <w:rPr>
          <w:rFonts w:hint="eastAsia" w:ascii="仿宋_GB2312" w:hAnsi="仿宋_GB2312" w:eastAsia="仿宋_GB2312" w:cs="仿宋_GB2312"/>
          <w:sz w:val="32"/>
          <w:szCs w:val="32"/>
        </w:rPr>
        <w:t>城镇</w:t>
      </w:r>
      <w:r>
        <w:rPr>
          <w:rFonts w:hint="eastAsia" w:ascii="仿宋_GB2312" w:hAnsi="仿宋_GB2312" w:eastAsia="仿宋_GB2312" w:cs="仿宋_GB2312"/>
          <w:spacing w:val="-6"/>
          <w:sz w:val="32"/>
          <w:szCs w:val="32"/>
        </w:rPr>
        <w:t>登记失业率</w:t>
      </w:r>
      <w:r>
        <w:rPr>
          <w:rFonts w:hint="eastAsia" w:ascii="仿宋_GB2312" w:hAnsi="仿宋_GB2312" w:eastAsia="仿宋_GB2312" w:cs="仿宋_GB2312"/>
          <w:spacing w:val="-6"/>
          <w:sz w:val="32"/>
          <w:szCs w:val="32"/>
          <w:lang w:val="en-US" w:eastAsia="zh-CN"/>
        </w:rPr>
        <w:t>控制在</w:t>
      </w:r>
      <w:r>
        <w:rPr>
          <w:rFonts w:hint="eastAsia" w:ascii="仿宋_GB2312" w:hAnsi="仿宋_GB2312" w:eastAsia="仿宋_GB2312" w:cs="仿宋_GB2312"/>
          <w:spacing w:val="-6"/>
          <w:sz w:val="32"/>
          <w:szCs w:val="32"/>
        </w:rPr>
        <w:t>4.0%以内</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spacing w:after="120" w:line="576" w:lineRule="exact"/>
        <w:ind w:firstLine="616"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城镇居民人均可支配收入增长7.5%。</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4.</w:t>
      </w:r>
      <w:r>
        <w:rPr>
          <w:rFonts w:hint="eastAsia" w:ascii="仿宋_GB2312" w:hAnsi="仿宋_GB2312" w:eastAsia="仿宋_GB2312" w:cs="仿宋_GB2312"/>
          <w:sz w:val="32"/>
          <w:szCs w:val="32"/>
        </w:rPr>
        <w:t>完成水利、环境和公共设施管理业工资总额增长速度，公共管理、社会保障和社会组织工资总额增长速度年度目标任务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after="120" w:line="576" w:lineRule="exact"/>
        <w:ind w:firstLine="640" w:firstLineChars="200"/>
        <w:jc w:val="both"/>
        <w:textAlignment w:val="auto"/>
        <w:outlineLvl w:val="3"/>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5.完成农民工服务保障（含工资支付）省下目标任务。</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6.推动农村劳动力转移就业 95 万人，实现劳务收入 290 亿元。</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7.持续实施“返乡创业、回家发展”计划，全年回引返乡创业 3000 人以上。</w:t>
      </w:r>
    </w:p>
    <w:p>
      <w:pPr>
        <w:keepNext w:val="0"/>
        <w:keepLines w:val="0"/>
        <w:pageBreakBefore w:val="0"/>
        <w:widowControl w:val="0"/>
        <w:kinsoku/>
        <w:wordWrap/>
        <w:overflowPunct/>
        <w:topLinePunct w:val="0"/>
        <w:autoSpaceDE/>
        <w:autoSpaceDN/>
        <w:bidi w:val="0"/>
        <w:spacing w:after="120" w:line="576" w:lineRule="exact"/>
        <w:ind w:firstLine="640" w:firstLineChars="200"/>
        <w:jc w:val="both"/>
        <w:textAlignment w:val="auto"/>
        <w:outlineLvl w:val="3"/>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8.按季度召开返乡创业企业困难问题会商会。</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9.持续提升技能培训针对性和实效性，开展补贴性职业技能培训 3.2 万人次。</w:t>
      </w:r>
    </w:p>
    <w:p>
      <w:pPr>
        <w:keepNext w:val="0"/>
        <w:keepLines w:val="0"/>
        <w:pageBreakBefore w:val="0"/>
        <w:widowControl w:val="0"/>
        <w:numPr>
          <w:ilvl w:val="0"/>
          <w:numId w:val="8"/>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抓好市、县两级国有人力资源公司和乡村两级劳务专业合作社运行管理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after="120" w:line="57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11.创建省级人力资源服务产业园。</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12.</w:t>
      </w:r>
      <w:r>
        <w:rPr>
          <w:rFonts w:hint="eastAsia" w:ascii="仿宋_GB2312" w:hAnsi="仿宋_GB2312" w:eastAsia="仿宋_GB2312" w:cs="仿宋_GB2312"/>
          <w:sz w:val="32"/>
          <w:szCs w:val="32"/>
        </w:rPr>
        <w:t>加强企业招聘用工服务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13.</w:t>
      </w:r>
      <w:r>
        <w:rPr>
          <w:rFonts w:hint="eastAsia" w:ascii="仿宋_GB2312" w:hAnsi="仿宋_GB2312" w:eastAsia="仿宋_GB2312" w:cs="仿宋_GB2312"/>
          <w:sz w:val="32"/>
          <w:szCs w:val="32"/>
        </w:rPr>
        <w:t>培</w:t>
      </w:r>
      <w:r>
        <w:rPr>
          <w:rFonts w:hint="eastAsia" w:ascii="仿宋_GB2312" w:hAnsi="仿宋_GB2312" w:eastAsia="仿宋_GB2312" w:cs="仿宋_GB2312"/>
          <w:spacing w:val="-8"/>
          <w:sz w:val="32"/>
          <w:szCs w:val="32"/>
        </w:rPr>
        <w:t>育规上服务业企业2户</w:t>
      </w:r>
      <w:r>
        <w:rPr>
          <w:rFonts w:hint="eastAsia" w:ascii="仿宋_GB2312" w:hAnsi="仿宋_GB2312" w:eastAsia="仿宋_GB2312" w:cs="仿宋_GB2312"/>
          <w:spacing w:val="-8"/>
          <w:sz w:val="32"/>
          <w:szCs w:val="32"/>
          <w:lang w:eastAsia="zh-CN"/>
        </w:rPr>
        <w:t>。</w:t>
      </w:r>
    </w:p>
    <w:p>
      <w:pPr>
        <w:keepNext w:val="0"/>
        <w:keepLines w:val="0"/>
        <w:pageBreakBefore w:val="0"/>
        <w:widowControl w:val="0"/>
        <w:kinsoku/>
        <w:wordWrap/>
        <w:overflowPunct/>
        <w:topLinePunct w:val="0"/>
        <w:autoSpaceDE/>
        <w:autoSpaceDN/>
        <w:bidi w:val="0"/>
        <w:spacing w:after="120" w:line="576" w:lineRule="exact"/>
        <w:ind w:left="0" w:leftChars="0" w:firstLine="608"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pacing w:val="-8"/>
          <w:kern w:val="2"/>
          <w:sz w:val="32"/>
          <w:szCs w:val="32"/>
          <w:lang w:val="en-US" w:eastAsia="zh-CN" w:bidi="ar-SA"/>
        </w:rPr>
        <w:t>14.</w:t>
      </w:r>
      <w:r>
        <w:rPr>
          <w:rFonts w:hint="eastAsia" w:ascii="仿宋_GB2312" w:hAnsi="仿宋_GB2312" w:eastAsia="仿宋_GB2312" w:cs="仿宋_GB2312"/>
          <w:kern w:val="2"/>
          <w:sz w:val="32"/>
          <w:szCs w:val="32"/>
          <w:lang w:val="en-US" w:eastAsia="zh-CN" w:bidi="ar-SA"/>
        </w:rPr>
        <w:t>深入实施全民参保计划，完成企业职工基本养老保险、失业保险、工伤保险等省下目标任务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15.</w:t>
      </w:r>
      <w:r>
        <w:rPr>
          <w:rFonts w:hint="eastAsia" w:ascii="仿宋_GB2312" w:hAnsi="仿宋_GB2312" w:eastAsia="仿宋_GB2312" w:cs="仿宋_GB2312"/>
          <w:kern w:val="2"/>
          <w:sz w:val="32"/>
          <w:szCs w:val="32"/>
          <w:lang w:val="en-US" w:eastAsia="zh-CN" w:bidi="ar-SA"/>
        </w:rPr>
        <w:t>认真做好高层次人才引进工作。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16" w:firstLineChars="200"/>
        <w:contextualSpacing/>
        <w:jc w:val="left"/>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b w:val="0"/>
          <w:bCs w:val="0"/>
          <w:color w:val="000000"/>
          <w:spacing w:val="-6"/>
          <w:kern w:val="0"/>
          <w:sz w:val="32"/>
          <w:szCs w:val="32"/>
          <w:highlight w:val="none"/>
          <w:shd w:val="clear" w:color="auto" w:fill="FFFFFF"/>
          <w:lang w:val="en-US" w:eastAsia="zh-CN"/>
        </w:rPr>
        <w:t>16.</w:t>
      </w:r>
      <w:r>
        <w:rPr>
          <w:rFonts w:hint="eastAsia" w:ascii="仿宋_GB2312" w:hAnsi="仿宋_GB2312" w:eastAsia="仿宋_GB2312" w:cs="仿宋_GB2312"/>
          <w:spacing w:val="-6"/>
          <w:kern w:val="2"/>
          <w:sz w:val="32"/>
          <w:szCs w:val="32"/>
          <w:lang w:val="en-US" w:eastAsia="zh-CN" w:bidi="ar-SA"/>
        </w:rPr>
        <w:t>争取到位资金 8351 万元，并完成向上对接年度目标任务。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1"/>
        <w:rPr>
          <w:rFonts w:ascii="黑体" w:hAnsi="宋体" w:eastAsia="黑体" w:cs="宋体"/>
          <w:b w:val="0"/>
          <w:bCs w:val="0"/>
          <w:color w:val="000000"/>
          <w:kern w:val="0"/>
          <w:sz w:val="32"/>
          <w:szCs w:val="32"/>
          <w:highlight w:val="none"/>
          <w:shd w:val="clear" w:color="auto" w:fill="FFFFFF"/>
        </w:rPr>
      </w:pPr>
      <w:bookmarkStart w:id="110" w:name="_Toc6441"/>
      <w:bookmarkStart w:id="111" w:name="_Toc13067"/>
      <w:bookmarkStart w:id="112" w:name="_Toc2165"/>
      <w:bookmarkStart w:id="113" w:name="_Toc5408"/>
      <w:r>
        <w:rPr>
          <w:rFonts w:hint="eastAsia" w:ascii="黑体" w:hAnsi="宋体" w:eastAsia="黑体" w:cs="宋体"/>
          <w:b w:val="0"/>
          <w:bCs w:val="0"/>
          <w:color w:val="000000"/>
          <w:kern w:val="0"/>
          <w:sz w:val="32"/>
          <w:szCs w:val="32"/>
          <w:highlight w:val="none"/>
          <w:shd w:val="clear" w:color="auto" w:fill="FFFFFF"/>
        </w:rPr>
        <w:t>二、</w:t>
      </w:r>
      <w:r>
        <w:rPr>
          <w:rFonts w:hint="eastAsia" w:ascii="黑体" w:hAnsi="宋体" w:eastAsia="黑体" w:cs="宋体"/>
          <w:b w:val="0"/>
          <w:bCs w:val="0"/>
          <w:color w:val="000000"/>
          <w:kern w:val="0"/>
          <w:sz w:val="32"/>
          <w:szCs w:val="32"/>
          <w:highlight w:val="none"/>
          <w:shd w:val="clear" w:color="auto" w:fill="FFFFFF"/>
          <w:lang w:eastAsia="zh-CN"/>
        </w:rPr>
        <w:t>部门</w:t>
      </w:r>
      <w:r>
        <w:rPr>
          <w:rFonts w:hint="eastAsia" w:ascii="黑体" w:hAnsi="宋体" w:eastAsia="黑体" w:cs="宋体"/>
          <w:b w:val="0"/>
          <w:bCs w:val="0"/>
          <w:color w:val="000000"/>
          <w:kern w:val="0"/>
          <w:sz w:val="32"/>
          <w:szCs w:val="32"/>
          <w:highlight w:val="none"/>
          <w:shd w:val="clear" w:color="auto" w:fill="FFFFFF"/>
        </w:rPr>
        <w:t>资金收支情况</w:t>
      </w:r>
      <w:bookmarkEnd w:id="110"/>
      <w:bookmarkEnd w:id="111"/>
      <w:bookmarkEnd w:id="112"/>
      <w:bookmarkEnd w:id="113"/>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（一）部门总体收支情况。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1.部门总体收入情况</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决算</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收入总计</w:t>
      </w:r>
      <w:r>
        <w:rPr>
          <w:rFonts w:hint="eastAsia" w:ascii="仿宋_GB2312" w:hAnsi="Times New Roman" w:eastAsia="仿宋_GB2312" w:cs="Times New Roman"/>
          <w:sz w:val="32"/>
          <w:szCs w:val="32"/>
          <w:lang w:val="en-US" w:eastAsia="zh-CN"/>
        </w:rPr>
        <w:t>7368.67</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outlineLvl w:val="3"/>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2.部门总体支出情况</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决算</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支出总计</w:t>
      </w:r>
      <w:r>
        <w:rPr>
          <w:rFonts w:hint="eastAsia" w:ascii="仿宋_GB2312" w:hAnsi="Times New Roman" w:eastAsia="仿宋_GB2312" w:cs="Times New Roman"/>
          <w:sz w:val="32"/>
          <w:szCs w:val="32"/>
          <w:lang w:val="en-US" w:eastAsia="zh-CN"/>
        </w:rPr>
        <w:t>7259.94</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outlineLvl w:val="3"/>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3.部门总体结转结余情况</w:t>
      </w:r>
    </w:p>
    <w:p>
      <w:pPr>
        <w:keepNext w:val="0"/>
        <w:keepLines w:val="0"/>
        <w:pageBreakBefore w:val="0"/>
        <w:widowControl w:val="0"/>
        <w:numPr>
          <w:ilvl w:val="0"/>
          <w:numId w:val="0"/>
        </w:numPr>
        <w:kinsoku/>
        <w:wordWrap/>
        <w:overflowPunct/>
        <w:topLinePunct w:val="0"/>
        <w:autoSpaceDE/>
        <w:autoSpaceDN/>
        <w:bidi w:val="0"/>
        <w:spacing w:after="120" w:line="576" w:lineRule="exact"/>
        <w:ind w:leftChars="200" w:firstLine="320" w:firstLineChars="100"/>
        <w:jc w:val="both"/>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2022年结转结余108.73万元。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（二）部门财政拨款收支情况。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1.部门财政拨款收入情况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t>2022年财政拨款收入7368.56万元。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default"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2.部门财政拨款支出情况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2022年财政拨款支出7259.83万元。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eastAsia" w:ascii="Times New Roman"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Times New Roman" w:eastAsia="仿宋_GB2312" w:cs="Times New Roman"/>
          <w:kern w:val="2"/>
          <w:sz w:val="32"/>
          <w:szCs w:val="32"/>
          <w:lang w:val="en-US" w:eastAsia="zh-CN" w:bidi="ar-SA"/>
        </w:rPr>
        <w:t>3.</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部门</w:t>
      </w:r>
      <w:r>
        <w:rPr>
          <w:rFonts w:hint="eastAsia" w:ascii="Times New Roman" w:hAnsi="仿宋_GB2312" w:eastAsia="仿宋_GB2312" w:cs="仿宋_GB2312"/>
          <w:b w:val="0"/>
          <w:bCs w:val="0"/>
          <w:color w:val="000000"/>
          <w:kern w:val="0"/>
          <w:sz w:val="32"/>
          <w:szCs w:val="32"/>
          <w:highlight w:val="none"/>
          <w:shd w:val="clear" w:color="auto" w:fill="FFFFFF"/>
          <w:lang w:val="en-US" w:eastAsia="zh-CN"/>
        </w:rPr>
        <w:t>财政拨款结转结余情况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pPr>
      <w:r>
        <w:rPr>
          <w:rFonts w:hint="eastAsia" w:ascii="仿宋_GB2312" w:hAnsi="Times New Roman" w:eastAsia="仿宋_GB2312" w:cs="Times New Roman"/>
          <w:kern w:val="2"/>
          <w:sz w:val="32"/>
          <w:szCs w:val="32"/>
          <w:lang w:val="en-US" w:eastAsia="zh-CN" w:bidi="ar-SA"/>
        </w:rPr>
        <w:t>2022年</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t>财政拨款结转结余108.73万元。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1"/>
        <w:rPr>
          <w:rFonts w:hint="eastAsia" w:ascii="黑体" w:hAnsi="宋体" w:eastAsia="黑体" w:cs="宋体"/>
          <w:b w:val="0"/>
          <w:bCs w:val="0"/>
          <w:color w:val="000000"/>
          <w:kern w:val="0"/>
          <w:sz w:val="32"/>
          <w:szCs w:val="32"/>
          <w:highlight w:val="none"/>
          <w:u w:val="none"/>
          <w:shd w:val="clear" w:color="auto" w:fill="FFFFFF"/>
          <w:lang w:eastAsia="zh-CN"/>
        </w:rPr>
      </w:pPr>
      <w:bookmarkStart w:id="114" w:name="_Toc12692"/>
      <w:bookmarkStart w:id="115" w:name="_Toc14695"/>
      <w:bookmarkStart w:id="116" w:name="_Toc5143"/>
      <w:bookmarkStart w:id="117" w:name="_Toc13776"/>
      <w:r>
        <w:rPr>
          <w:rFonts w:hint="eastAsia" w:ascii="黑体" w:hAnsi="宋体" w:eastAsia="黑体" w:cs="宋体"/>
          <w:b w:val="0"/>
          <w:bCs w:val="0"/>
          <w:color w:val="000000"/>
          <w:kern w:val="0"/>
          <w:sz w:val="32"/>
          <w:szCs w:val="32"/>
          <w:highlight w:val="none"/>
          <w:u w:val="none"/>
          <w:shd w:val="clear" w:color="auto" w:fill="FFFFFF"/>
          <w:lang w:val="en-US" w:eastAsia="zh-CN"/>
        </w:rPr>
        <w:t>三、</w:t>
      </w:r>
      <w:r>
        <w:rPr>
          <w:rFonts w:hint="eastAsia" w:ascii="黑体" w:hAnsi="宋体" w:eastAsia="黑体" w:cs="宋体"/>
          <w:b w:val="0"/>
          <w:bCs w:val="0"/>
          <w:color w:val="000000"/>
          <w:kern w:val="0"/>
          <w:sz w:val="32"/>
          <w:szCs w:val="32"/>
          <w:highlight w:val="none"/>
          <w:u w:val="none"/>
          <w:shd w:val="clear" w:color="auto" w:fill="FFFFFF"/>
        </w:rPr>
        <w:t>部门整体绩效</w:t>
      </w:r>
      <w:r>
        <w:rPr>
          <w:rFonts w:hint="eastAsia" w:ascii="黑体" w:hAnsi="宋体" w:eastAsia="黑体" w:cs="宋体"/>
          <w:b w:val="0"/>
          <w:bCs w:val="0"/>
          <w:color w:val="000000"/>
          <w:kern w:val="0"/>
          <w:sz w:val="32"/>
          <w:szCs w:val="32"/>
          <w:highlight w:val="none"/>
          <w:u w:val="none"/>
          <w:shd w:val="clear" w:color="auto" w:fill="FFFFFF"/>
          <w:lang w:eastAsia="zh-CN"/>
        </w:rPr>
        <w:t>分析</w:t>
      </w:r>
      <w:bookmarkEnd w:id="114"/>
      <w:bookmarkEnd w:id="115"/>
      <w:bookmarkEnd w:id="116"/>
      <w:bookmarkEnd w:id="117"/>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contextualSpacing/>
        <w:jc w:val="left"/>
        <w:textAlignment w:val="auto"/>
        <w:outlineLvl w:val="2"/>
        <w:rPr>
          <w:rFonts w:hint="eastAsia" w:ascii="仿宋_GB2312" w:hAnsi="宋体" w:eastAsia="仿宋_GB2312" w:cs="宋体"/>
          <w:b w:val="0"/>
          <w:bCs w:val="0"/>
          <w:color w:val="FF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（一）部门预算项目绩效分析。</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eastAsia" w:ascii="仿宋_GB2312" w:hAnsi="宋体" w:eastAsia="仿宋_GB2312" w:cs="宋体"/>
          <w:b w:val="0"/>
          <w:bCs w:val="0"/>
          <w:color w:val="000000"/>
          <w:kern w:val="0"/>
          <w:sz w:val="32"/>
          <w:szCs w:val="32"/>
          <w:highlight w:val="none"/>
          <w:shd w:val="clear" w:color="auto" w:fill="FFFFFF"/>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rPr>
        <w:t>1.人员类项目绩效分析</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1"/>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t>人员类项目主要用于人员工资、保险、住房公积金等人员支出。我局严格按人员经费标准足额保障相关支出，实现保工资目标，各项经费严格按市财政要求按月及时支付，执行</w:t>
      </w:r>
      <w:r>
        <w:rPr>
          <w:rFonts w:hint="eastAsia" w:ascii="仿宋_GB2312" w:hAnsi="仿宋_GB2312" w:cs="仿宋_GB2312"/>
          <w:b w:val="0"/>
          <w:bCs w:val="0"/>
          <w:color w:val="000000"/>
          <w:kern w:val="0"/>
          <w:sz w:val="32"/>
          <w:szCs w:val="32"/>
          <w:highlight w:val="none"/>
          <w:shd w:val="clear" w:color="auto" w:fill="FFFFFF"/>
          <w:lang w:val="en-US" w:eastAsia="zh-CN" w:bidi="ar-SA"/>
        </w:rPr>
        <w:t>率98.45</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eastAsia" w:ascii="仿宋_GB2312" w:hAnsi="宋体" w:eastAsia="仿宋_GB2312" w:cs="宋体"/>
          <w:b w:val="0"/>
          <w:bCs w:val="0"/>
          <w:color w:val="000000"/>
          <w:kern w:val="0"/>
          <w:sz w:val="32"/>
          <w:szCs w:val="32"/>
          <w:highlight w:val="none"/>
          <w:shd w:val="clear" w:color="auto" w:fill="FFFFFF"/>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rPr>
        <w:t>2.运转类项目绩效分析</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pPr>
      <w:r>
        <w:rPr>
          <w:rFonts w:hint="eastAsia" w:ascii="仿宋_GB2312" w:hAnsi="宋体" w:eastAsia="仿宋_GB2312" w:cs="宋体"/>
          <w:b w:val="0"/>
          <w:bCs w:val="0"/>
          <w:color w:val="000000"/>
          <w:kern w:val="0"/>
          <w:sz w:val="32"/>
          <w:szCs w:val="32"/>
          <w:highlight w:val="none"/>
          <w:shd w:val="clear" w:color="auto" w:fill="FFFFFF"/>
          <w:lang w:val="en-US" w:eastAsia="zh-CN"/>
        </w:rPr>
        <w:t>运转类项目主要用于保障机关正常运转所发生的公用经费支出，我局2022年运转类项目执行率95.04%</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3"/>
        <w:rPr>
          <w:rFonts w:hint="default" w:ascii="仿宋_GB2312" w:hAnsi="宋体" w:eastAsia="仿宋_GB2312" w:cs="宋体"/>
          <w:b w:val="0"/>
          <w:bCs w:val="0"/>
          <w:color w:val="000000"/>
          <w:kern w:val="0"/>
          <w:sz w:val="32"/>
          <w:szCs w:val="32"/>
          <w:highlight w:val="none"/>
          <w:shd w:val="clear" w:color="auto" w:fill="FFFFFF"/>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rPr>
        <w:t>3.特定目标类项目绩效分析</w:t>
      </w:r>
    </w:p>
    <w:p>
      <w:pPr>
        <w:keepNext w:val="0"/>
        <w:keepLines w:val="0"/>
        <w:pageBreakBefore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ascii="仿宋_GB2312" w:hAnsi="宋体" w:eastAsia="仿宋_GB2312" w:cs="宋体"/>
          <w:color w:val="000000"/>
          <w:kern w:val="0"/>
          <w:sz w:val="32"/>
          <w:szCs w:val="32"/>
          <w:shd w:val="clear" w:color="auto" w:fill="FFFFFF"/>
        </w:rPr>
      </w:pPr>
      <w:r>
        <w:rPr>
          <w:rFonts w:hint="eastAsia" w:ascii="仿宋_GB2312" w:hAnsi="仿宋_GB2312" w:eastAsia="仿宋_GB2312" w:cs="仿宋_GB2312"/>
          <w:bCs/>
          <w:color w:val="000000"/>
          <w:sz w:val="32"/>
          <w:szCs w:val="32"/>
        </w:rPr>
        <w:t>按照预算绩效管理要求，</w:t>
      </w:r>
      <w:r>
        <w:rPr>
          <w:rFonts w:hint="eastAsia" w:ascii="仿宋_GB2312" w:hAnsi="仿宋_GB2312" w:eastAsia="仿宋_GB2312" w:cs="仿宋_GB2312"/>
          <w:bCs/>
          <w:color w:val="000000"/>
          <w:sz w:val="32"/>
          <w:szCs w:val="32"/>
          <w:lang w:val="en-US" w:eastAsia="zh-CN"/>
        </w:rPr>
        <w:t>本部门</w:t>
      </w:r>
      <w:r>
        <w:rPr>
          <w:rFonts w:hint="eastAsia" w:ascii="仿宋_GB2312" w:hAnsi="宋体" w:eastAsia="仿宋_GB2312" w:cs="宋体"/>
          <w:b w:val="0"/>
          <w:bCs w:val="0"/>
          <w:color w:val="000000"/>
          <w:kern w:val="0"/>
          <w:sz w:val="32"/>
          <w:szCs w:val="32"/>
          <w:highlight w:val="none"/>
          <w:shd w:val="clear" w:color="auto" w:fill="FFFFFF"/>
          <w:lang w:val="en-US" w:eastAsia="zh-CN"/>
        </w:rPr>
        <w:t>（含二级预算单位）</w:t>
      </w:r>
      <w:r>
        <w:rPr>
          <w:rFonts w:hint="eastAsia" w:ascii="仿宋_GB2312" w:hAnsi="仿宋_GB2312" w:eastAsia="仿宋_GB2312" w:cs="仿宋_GB2312"/>
          <w:bCs/>
          <w:color w:val="000000"/>
          <w:sz w:val="32"/>
          <w:szCs w:val="32"/>
        </w:rPr>
        <w:t>对</w:t>
      </w:r>
      <w:r>
        <w:rPr>
          <w:rFonts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rPr>
        <w:t>2年</w:t>
      </w:r>
      <w:r>
        <w:rPr>
          <w:rFonts w:hint="eastAsia" w:ascii="仿宋_GB2312" w:hAnsi="仿宋_GB2312" w:eastAsia="仿宋_GB2312" w:cs="仿宋_GB2312"/>
          <w:bCs/>
          <w:color w:val="000000"/>
          <w:sz w:val="32"/>
          <w:szCs w:val="32"/>
          <w:lang w:val="en-US" w:eastAsia="zh-CN"/>
        </w:rPr>
        <w:t>所有</w:t>
      </w:r>
      <w:r>
        <w:rPr>
          <w:rFonts w:hint="eastAsia" w:ascii="仿宋_GB2312" w:hAnsi="宋体" w:eastAsia="仿宋_GB2312" w:cs="宋体"/>
          <w:b w:val="0"/>
          <w:bCs w:val="0"/>
          <w:color w:val="000000"/>
          <w:kern w:val="0"/>
          <w:sz w:val="32"/>
          <w:szCs w:val="32"/>
          <w:highlight w:val="none"/>
          <w:shd w:val="clear" w:color="auto" w:fill="FFFFFF"/>
          <w:lang w:val="en-US" w:eastAsia="zh-CN"/>
        </w:rPr>
        <w:t>特定目标类项目</w:t>
      </w:r>
      <w:r>
        <w:rPr>
          <w:rFonts w:hint="eastAsia" w:ascii="仿宋_GB2312" w:hAnsi="仿宋_GB2312" w:eastAsia="仿宋_GB2312" w:cs="仿宋_GB2312"/>
          <w:bCs/>
          <w:color w:val="000000"/>
          <w:sz w:val="32"/>
          <w:szCs w:val="32"/>
        </w:rPr>
        <w:t>开展了绩效目标管理，年中对追加项目进行绩效目标设定</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并对所有项目的绩效目标完成情况进行了监控分析。</w:t>
      </w:r>
      <w:r>
        <w:rPr>
          <w:rFonts w:hint="eastAsia" w:ascii="仿宋_GB2312" w:hAnsi="仿宋_GB2312" w:eastAsia="仿宋_GB2312" w:cs="仿宋_GB2312"/>
          <w:bCs/>
          <w:color w:val="000000"/>
          <w:sz w:val="32"/>
          <w:szCs w:val="32"/>
        </w:rPr>
        <w:t>特定</w:t>
      </w:r>
      <w:r>
        <w:rPr>
          <w:rFonts w:hint="eastAsia" w:ascii="仿宋_GB2312" w:hAnsi="仿宋_GB2312" w:eastAsia="仿宋_GB2312" w:cs="仿宋_GB2312"/>
          <w:bCs/>
          <w:color w:val="000000"/>
          <w:sz w:val="32"/>
          <w:szCs w:val="32"/>
          <w:lang w:val="en-US" w:eastAsia="zh-CN"/>
        </w:rPr>
        <w:t>目标类</w:t>
      </w:r>
      <w:r>
        <w:rPr>
          <w:rFonts w:hint="eastAsia" w:ascii="仿宋_GB2312" w:hAnsi="仿宋_GB2312" w:eastAsia="仿宋_GB2312" w:cs="仿宋_GB2312"/>
          <w:bCs/>
          <w:color w:val="000000"/>
          <w:sz w:val="32"/>
          <w:szCs w:val="32"/>
        </w:rPr>
        <w:t>项目主要</w:t>
      </w:r>
      <w:r>
        <w:rPr>
          <w:rFonts w:hint="eastAsia" w:ascii="仿宋_GB2312" w:hAnsi="仿宋_GB2312" w:eastAsia="仿宋_GB2312" w:cs="仿宋_GB2312"/>
          <w:bCs/>
          <w:color w:val="000000"/>
          <w:sz w:val="32"/>
          <w:szCs w:val="32"/>
          <w:lang w:val="en-US" w:eastAsia="zh-CN"/>
        </w:rPr>
        <w:t>用于保障完成特定目标而开展的业务活动开支</w:t>
      </w:r>
      <w:r>
        <w:rPr>
          <w:rFonts w:hint="eastAsia" w:ascii="仿宋_GB2312" w:hAnsi="仿宋_GB2312" w:eastAsia="仿宋_GB2312" w:cs="仿宋_GB2312"/>
          <w:bCs/>
          <w:color w:val="000000"/>
          <w:sz w:val="32"/>
          <w:szCs w:val="32"/>
        </w:rPr>
        <w:t>，这些项目有效保障了</w:t>
      </w:r>
      <w:r>
        <w:rPr>
          <w:rFonts w:hint="eastAsia" w:ascii="仿宋_GB2312" w:hAnsi="仿宋_GB2312" w:eastAsia="仿宋_GB2312" w:cs="仿宋_GB2312"/>
          <w:bCs/>
          <w:color w:val="000000"/>
          <w:sz w:val="32"/>
          <w:szCs w:val="32"/>
          <w:lang w:val="en-US" w:eastAsia="zh-CN"/>
        </w:rPr>
        <w:t>本部门各项业务工作的正常开展</w:t>
      </w:r>
      <w:r>
        <w:rPr>
          <w:rFonts w:hint="eastAsia" w:ascii="仿宋_GB2312" w:hAnsi="仿宋_GB2312" w:eastAsia="仿宋_GB2312" w:cs="仿宋_GB2312"/>
          <w:bCs/>
          <w:color w:val="000000"/>
          <w:sz w:val="32"/>
          <w:szCs w:val="32"/>
        </w:rPr>
        <w:t>，为部门基本职能的正常履行，提供了坚实的经费保障。</w:t>
      </w:r>
    </w:p>
    <w:p>
      <w:pPr>
        <w:keepNext w:val="0"/>
        <w:keepLines w:val="0"/>
        <w:pageBreakBefore w:val="0"/>
        <w:widowControl w:val="0"/>
        <w:numPr>
          <w:ilvl w:val="0"/>
          <w:numId w:val="9"/>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部门整体履职绩效分析。</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2022年，我局深入贯彻党的二十大和习近平总书记来川视察重要指示精神，认真落实</w:t>
      </w:r>
      <w:r>
        <w:rPr>
          <w:rFonts w:hint="eastAsia" w:ascii="仿宋_GB2312" w:hAnsi="Times New Roman" w:eastAsia="仿宋_GB2312" w:cs="Times New Roman"/>
          <w:sz w:val="32"/>
          <w:szCs w:val="32"/>
          <w:lang w:eastAsia="zh-CN"/>
        </w:rPr>
        <w:t>中央和省市</w:t>
      </w:r>
      <w:r>
        <w:rPr>
          <w:rFonts w:hint="eastAsia" w:ascii="仿宋_GB2312" w:hAnsi="Times New Roman" w:eastAsia="仿宋_GB2312" w:cs="Times New Roman"/>
          <w:sz w:val="32"/>
          <w:szCs w:val="32"/>
        </w:rPr>
        <w:t>部署</w:t>
      </w:r>
      <w:r>
        <w:rPr>
          <w:rFonts w:hint="eastAsia" w:ascii="仿宋_GB2312" w:hAnsi="Times New Roman" w:eastAsia="仿宋_GB2312" w:cs="Times New Roman"/>
          <w:sz w:val="32"/>
          <w:szCs w:val="32"/>
          <w:lang w:eastAsia="zh-CN"/>
        </w:rPr>
        <w:t>要求</w:t>
      </w:r>
      <w:r>
        <w:rPr>
          <w:rFonts w:hint="eastAsia" w:ascii="仿宋_GB2312" w:hAnsi="Times New Roman" w:eastAsia="仿宋_GB2312" w:cs="Times New Roman"/>
          <w:sz w:val="32"/>
          <w:szCs w:val="32"/>
        </w:rPr>
        <w:t>，坚持拼字当头、产业为先、</w:t>
      </w:r>
      <w:r>
        <w:rPr>
          <w:rFonts w:hint="eastAsia" w:ascii="仿宋_GB2312" w:hAnsi="Times New Roman" w:eastAsia="仿宋_GB2312" w:cs="Times New Roman"/>
          <w:sz w:val="32"/>
          <w:szCs w:val="32"/>
          <w:lang w:val="en-US" w:eastAsia="zh-CN"/>
        </w:rPr>
        <w:t>环境</w:t>
      </w:r>
      <w:r>
        <w:rPr>
          <w:rFonts w:hint="eastAsia" w:ascii="仿宋_GB2312" w:hAnsi="Times New Roman" w:eastAsia="仿宋_GB2312" w:cs="Times New Roman"/>
          <w:sz w:val="32"/>
          <w:szCs w:val="32"/>
        </w:rPr>
        <w:t>为要，深入</w:t>
      </w:r>
      <w:r>
        <w:rPr>
          <w:rFonts w:hint="eastAsia" w:ascii="仿宋_GB2312" w:hAnsi="Times New Roman" w:eastAsia="仿宋_GB2312" w:cs="Times New Roman"/>
          <w:sz w:val="32"/>
          <w:szCs w:val="32"/>
          <w:lang w:val="en-US" w:eastAsia="zh-CN"/>
        </w:rPr>
        <w:t>实施</w:t>
      </w:r>
      <w:r>
        <w:rPr>
          <w:rFonts w:hint="eastAsia" w:ascii="仿宋_GB2312" w:hAnsi="Times New Roman" w:eastAsia="仿宋_GB2312" w:cs="Times New Roman"/>
          <w:sz w:val="32"/>
          <w:szCs w:val="32"/>
          <w:lang w:eastAsia="zh-CN"/>
        </w:rPr>
        <w:t>全市</w:t>
      </w:r>
      <w:r>
        <w:rPr>
          <w:rFonts w:hint="eastAsia" w:ascii="仿宋_GB2312" w:hAnsi="Times New Roman" w:eastAsia="仿宋_GB2312" w:cs="Times New Roman"/>
          <w:sz w:val="32"/>
          <w:szCs w:val="32"/>
        </w:rPr>
        <w:t>人</w:t>
      </w:r>
      <w:r>
        <w:rPr>
          <w:rFonts w:hint="eastAsia" w:ascii="仿宋_GB2312" w:hAnsi="Times New Roman" w:eastAsia="仿宋_GB2312" w:cs="Times New Roman"/>
          <w:sz w:val="32"/>
          <w:szCs w:val="32"/>
          <w:lang w:val="en-US" w:eastAsia="zh-CN"/>
        </w:rPr>
        <w:t>社</w:t>
      </w:r>
      <w:r>
        <w:rPr>
          <w:rFonts w:hint="eastAsia" w:ascii="仿宋_GB2312" w:hAnsi="Times New Roman" w:eastAsia="仿宋_GB2312" w:cs="Times New Roman"/>
          <w:sz w:val="32"/>
          <w:szCs w:val="32"/>
          <w:lang w:eastAsia="zh-CN"/>
        </w:rPr>
        <w:t>系统</w:t>
      </w:r>
      <w:r>
        <w:rPr>
          <w:rFonts w:hint="eastAsia" w:ascii="仿宋_GB2312" w:hAnsi="Times New Roman" w:eastAsia="仿宋_GB2312" w:cs="Times New Roman"/>
          <w:sz w:val="32"/>
          <w:szCs w:val="32"/>
        </w:rPr>
        <w:t>“六心行动”，高效统筹疫情防控和人社事业发展，各项重点工作扎实推进</w:t>
      </w:r>
      <w:r>
        <w:rPr>
          <w:rFonts w:hint="eastAsia" w:ascii="仿宋_GB2312" w:hAnsi="Times New Roman" w:eastAsia="仿宋_GB2312" w:cs="Times New Roman"/>
          <w:sz w:val="32"/>
          <w:szCs w:val="32"/>
          <w:lang w:eastAsia="zh-CN"/>
        </w:rPr>
        <w:t>，成效明显，根治欠薪、</w:t>
      </w:r>
      <w:r>
        <w:rPr>
          <w:rFonts w:hint="eastAsia" w:ascii="仿宋_GB2312" w:hAnsi="Times New Roman" w:eastAsia="仿宋_GB2312" w:cs="Times New Roman"/>
          <w:sz w:val="32"/>
          <w:szCs w:val="32"/>
        </w:rPr>
        <w:t>就业创业、乡村振兴人社帮扶等工作在全省交流</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次。三级劳务平台建设、“帮帮摊”促就业等工作经验被</w:t>
      </w:r>
      <w:r>
        <w:rPr>
          <w:rFonts w:hint="eastAsia" w:ascii="仿宋_GB2312" w:hAnsi="Times New Roman" w:eastAsia="仿宋_GB2312" w:cs="Times New Roman"/>
          <w:sz w:val="32"/>
          <w:szCs w:val="32"/>
          <w:lang w:eastAsia="zh-CN"/>
        </w:rPr>
        <w:t>人力资源社会保障部就业工作快报、</w:t>
      </w:r>
      <w:r>
        <w:rPr>
          <w:rFonts w:hint="eastAsia" w:ascii="仿宋_GB2312" w:hAnsi="Times New Roman" w:eastAsia="仿宋_GB2312" w:cs="Times New Roman"/>
          <w:sz w:val="32"/>
          <w:szCs w:val="32"/>
        </w:rPr>
        <w:t>央视等权威媒体报道</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农民工工作连续第4年受到省委、省政府通报表扬</w:t>
      </w:r>
      <w:r>
        <w:rPr>
          <w:rFonts w:hint="eastAsia" w:ascii="仿宋_GB2312" w:hAnsi="Times New Roman" w:eastAsia="仿宋_GB2312" w:cs="Times New Roman"/>
          <w:sz w:val="32"/>
          <w:szCs w:val="32"/>
          <w:lang w:eastAsia="zh-CN"/>
        </w:rPr>
        <w:t>，2021年度保障农民工工资支付工作考核排名全省第一名。</w:t>
      </w:r>
      <w:r>
        <w:rPr>
          <w:rFonts w:hint="eastAsia" w:ascii="仿宋_GB2312" w:hAnsi="Times New Roman" w:eastAsia="仿宋_GB2312" w:cs="Times New Roman"/>
          <w:sz w:val="32"/>
          <w:szCs w:val="32"/>
          <w:lang w:val="en-US" w:eastAsia="zh-CN"/>
        </w:rPr>
        <w:t>2022年各项职能绩效目标高质量完成：</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lang w:val="en-US" w:eastAsia="zh-CN"/>
        </w:rPr>
        <w:t>1.</w:t>
      </w:r>
      <w:r>
        <w:rPr>
          <w:rFonts w:hint="eastAsia" w:ascii="仿宋_GB2312" w:hAnsi="Times New Roman" w:eastAsia="仿宋_GB2312" w:cs="Times New Roman"/>
          <w:sz w:val="32"/>
          <w:szCs w:val="32"/>
        </w:rPr>
        <w:t>深入实施就业优先战略，全面落实“两稳一保”决策部署，积极落实《广元市促进就业十条措施》，出台失业保险稳岗位提技能防失业9条等减负稳岗扩就业系列政策措施，印发《广元市2022年促进高校毕业生就业创业工作方案》，探索推广“分工厂”“共享员工”“帮帮摊”等就地就近就业新模式。全市城镇新增就业3.85万人，完成目标任务115%。</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2022年我市城镇登记失业率为3.35%，低于控制目标0.65个百分点。</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我市2022年度城镇居民人均可支配收入增速4.3%，与省平均水平持平，完成省下目标任务</w:t>
      </w:r>
      <w:r>
        <w:rPr>
          <w:rFonts w:hint="eastAsia" w:ascii="仿宋_GB2312"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2022年水利、环境和公共设施管理业工资总额增速11.7%；公共管理、社会保障和社会组织工资总额增速18.9%，超目标任务0.4个百分点</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after="120" w:line="576"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全面完成农民工服务保障（含工资支付）省下目标任务，农民工服务保障“十件事实”扎实推进，农民工转移就业形势保持稳定，就近就业渠道更加畅通，劳务收入持续增长。根治欠薪源头治理、综合治理扎实有力，颁发全国首张劳资专管员职业资格证书等创新做法获得广泛好评。全省农民工服务保障工作专报3次刊发我市农民工和就业工作经验做法，《四川改革动态》2022年第73期刊载我市农民工工作经验做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pacing w:val="-6"/>
          <w:sz w:val="32"/>
          <w:szCs w:val="32"/>
        </w:rPr>
        <w:t>全市农村劳动力转移就业96.53万人，完成目标</w:t>
      </w:r>
      <w:r>
        <w:rPr>
          <w:rFonts w:hint="eastAsia" w:ascii="仿宋_GB2312" w:hAnsi="Times New Roman" w:eastAsia="仿宋_GB2312" w:cs="Times New Roman"/>
          <w:spacing w:val="-6"/>
          <w:sz w:val="32"/>
          <w:szCs w:val="32"/>
          <w:lang w:val="en-US" w:eastAsia="zh-CN"/>
        </w:rPr>
        <w:t>的</w:t>
      </w:r>
      <w:r>
        <w:rPr>
          <w:rFonts w:hint="eastAsia" w:ascii="仿宋_GB2312" w:hAnsi="Times New Roman" w:eastAsia="仿宋_GB2312" w:cs="Times New Roman"/>
          <w:sz w:val="32"/>
          <w:szCs w:val="32"/>
        </w:rPr>
        <w:t>101.61%，实现劳务收入308.4亿元，完成目标的106.34%，农村劳动力转移就业形势总体稳定，劳务收入持续增长。</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7.持续实施“返乡创业、回家发展”计划，全面落实返乡下乡创业22条措施，发放创业担保贷款4.38亿元，放贷量居全省第3位。全年回引返乡创业3765人，完成目标的125.5%。</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8.按季度召开4次返乡创业企业困难问题会商会，共研究解决36家企业44个困难问题。</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楷体_GB2312" w:hAnsi="楷体_GB2312" w:eastAsia="楷体_GB2312" w:cs="楷体_GB2312"/>
          <w:b w:val="0"/>
          <w:bCs w:val="0"/>
          <w:color w:val="000000"/>
          <w:kern w:val="0"/>
          <w:sz w:val="32"/>
          <w:szCs w:val="32"/>
          <w:highlight w:val="none"/>
          <w:shd w:val="clear" w:color="auto" w:fill="FFFFFF"/>
          <w:lang w:val="en-US" w:eastAsia="zh-CN"/>
        </w:rPr>
        <w:t>9.</w:t>
      </w:r>
      <w:r>
        <w:rPr>
          <w:rFonts w:hint="eastAsia" w:ascii="仿宋_GB2312" w:hAnsi="Times New Roman" w:eastAsia="仿宋_GB2312" w:cs="Times New Roman"/>
          <w:sz w:val="32"/>
          <w:szCs w:val="32"/>
        </w:rPr>
        <w:t>全市累计开展各类补贴性职业技能培训35749人次，完成目标任务的111.72%，拨付补贴资金3529.63万元。</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rPr>
          <w:rFonts w:hint="eastAsia" w:ascii="楷体_GB2312" w:hAnsi="楷体_GB2312" w:eastAsia="仿宋_GB2312" w:cs="楷体_GB2312"/>
          <w:b w:val="0"/>
          <w:bCs w:val="0"/>
          <w:color w:val="000000"/>
          <w:kern w:val="0"/>
          <w:sz w:val="32"/>
          <w:szCs w:val="32"/>
          <w:highlight w:val="none"/>
          <w:shd w:val="clear" w:color="auto" w:fill="FFFFFF"/>
          <w:lang w:val="en-US" w:eastAsia="zh-CN" w:bidi="ar-SA"/>
        </w:rPr>
      </w:pPr>
      <w:r>
        <w:rPr>
          <w:rFonts w:hint="eastAsia" w:ascii="楷体_GB2312" w:hAnsi="楷体_GB2312" w:eastAsia="楷体_GB2312" w:cs="楷体_GB2312"/>
          <w:b w:val="0"/>
          <w:bCs w:val="0"/>
          <w:color w:val="000000"/>
          <w:kern w:val="0"/>
          <w:sz w:val="32"/>
          <w:szCs w:val="32"/>
          <w:highlight w:val="none"/>
          <w:shd w:val="clear" w:color="auto" w:fill="FFFFFF"/>
          <w:lang w:val="en-US" w:eastAsia="zh-CN" w:bidi="ar-SA"/>
        </w:rPr>
        <w:t>10.</w:t>
      </w:r>
      <w:r>
        <w:rPr>
          <w:rFonts w:hint="eastAsia" w:ascii="仿宋_GB2312" w:hAnsi="Times New Roman" w:eastAsia="仿宋_GB2312" w:cs="Times New Roman"/>
          <w:kern w:val="2"/>
          <w:sz w:val="32"/>
          <w:szCs w:val="32"/>
          <w:lang w:val="en-US" w:eastAsia="zh-CN" w:bidi="ar-SA"/>
        </w:rPr>
        <w:t>创新构建“国有人力资源公司+乡镇劳务专业合作社+村（社区）劳务专业合作分社”三级劳务服务平台，出台《广元市劳务专业合作社运行管理实施意见》，制定完善国有人力资源公司系列管理制度，不断规范运行管理。全市建立国有人力资源公司9个，乡镇劳务专合社142个，村级1715个，联合社35个。劳务专合社累计吸纳入社27.2万人，实现劳务收入1.68亿元。三级劳务服务平台经验做法被《央视2台正点财经》专题报道，《广元市全域创建劳务专业合作社、“点亮”群众就业增收路》做法，被人力资源和社会保障部《就业工作快报》2022第（8）期刊载推广。</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楷体_GB2312" w:hAnsi="楷体_GB2312" w:eastAsia="楷体_GB2312" w:cs="楷体_GB2312"/>
          <w:b w:val="0"/>
          <w:bCs w:val="0"/>
          <w:color w:val="000000"/>
          <w:kern w:val="0"/>
          <w:sz w:val="32"/>
          <w:szCs w:val="32"/>
          <w:highlight w:val="none"/>
          <w:shd w:val="clear" w:color="auto" w:fill="FFFFFF"/>
          <w:lang w:val="en-US" w:eastAsia="zh-CN"/>
        </w:rPr>
        <w:t>11.</w:t>
      </w:r>
      <w:r>
        <w:rPr>
          <w:rFonts w:hint="eastAsia" w:ascii="仿宋_GB2312" w:hAnsi="Times New Roman" w:eastAsia="仿宋_GB2312" w:cs="Times New Roman"/>
          <w:sz w:val="32"/>
          <w:szCs w:val="32"/>
        </w:rPr>
        <w:t>完成省级人力资源服务产业园各项创建工作。截至2022年末，产业园入驻企业全年营业收入达4.9亿元，提供就业岗位3万余个，带动就业2.2万人，产业园集聚人力资源、促进就业创业作用日益凸显。</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sz w:val="32"/>
          <w:szCs w:val="32"/>
          <w:lang w:val="en-US" w:eastAsia="zh-CN"/>
        </w:rPr>
        <w:t>12.</w:t>
      </w:r>
      <w:r>
        <w:rPr>
          <w:rFonts w:hint="eastAsia" w:ascii="仿宋_GB2312" w:hAnsi="Times New Roman" w:eastAsia="仿宋_GB2312" w:cs="Times New Roman"/>
          <w:sz w:val="32"/>
          <w:szCs w:val="32"/>
        </w:rPr>
        <w:t>不断完善“1+N”企业用工精准监测机制，建成零工市场10个，“一企一策”输送对接用工5237人。举办各类专题直播带岗9期，累计收看21.6万人次，中国劳动保障报先后3次进行宣传报道。实施岗位对接加密行动，开展“春风行动”“民营企业招聘月”等线上线下招聘活动268场，为3200余家市内外用人单位发布岗位信息22.38万条，全市人力资源市场供求总体稳定。</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sz w:val="32"/>
          <w:szCs w:val="32"/>
          <w:lang w:val="en-US" w:eastAsia="zh-CN"/>
        </w:rPr>
        <w:t>13.</w:t>
      </w:r>
      <w:r>
        <w:rPr>
          <w:rFonts w:hint="eastAsia" w:ascii="仿宋_GB2312" w:hAnsi="Times New Roman" w:eastAsia="仿宋_GB2312" w:cs="Times New Roman"/>
          <w:sz w:val="32"/>
          <w:szCs w:val="32"/>
        </w:rPr>
        <w:t>联系各县（区）支持动员辖区内人力资源服务业企业升规入统3户。</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14.积极实施全民参保计划，将“快递小哥”等群体纳入工伤保险，17家快递企业577名快递员全部参加工伤保险，参保率达100%。全市养老、工伤、失业保险参保分别达188.73万、23.57万、17.67万人，各项社保待遇按时足额发放。积极推进企业职工基本养老保险全国统筹任务完成，企业职工基本养老保险在职参保33.5万人，完成目标任务的105.22%；全市企业职工基本养老保险费实现预算收入300526万元，完成预算收入目标269290万元的111.60%。</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sz w:val="32"/>
          <w:lang w:val="en-US" w:eastAsia="zh-CN"/>
        </w:rPr>
        <w:t>15.</w:t>
      </w:r>
      <w:r>
        <w:rPr>
          <w:rFonts w:hint="eastAsia" w:ascii="仿宋_GB2312" w:hAnsi="Times New Roman" w:eastAsia="仿宋_GB2312" w:cs="Times New Roman"/>
          <w:sz w:val="32"/>
          <w:szCs w:val="32"/>
        </w:rPr>
        <w:t>扎实做好第十四批人才招引相关工作，赴成都高校开展“广纳英才•元来有你”推介宣讲活动，引进第十四批高层次人才11</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名，同比增加15%。启动广元市第十五批高层次人才引进相关工作。顺利举办留学回国人员国情省情研修智力服务活动，柔性引进“周末工程师”32名。支持零八一电子集团有限公司博士后创新实践基地进站博士后1名，这是近年来我市博士后科研工作站引进的首名博士后。</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楷体_GB2312" w:hAnsi="楷体_GB2312" w:eastAsia="楷体_GB2312" w:cs="楷体_GB2312"/>
          <w:b w:val="0"/>
          <w:bCs w:val="0"/>
          <w:color w:val="000000"/>
          <w:kern w:val="0"/>
          <w:sz w:val="32"/>
          <w:szCs w:val="32"/>
          <w:highlight w:val="none"/>
          <w:shd w:val="clear" w:color="auto" w:fill="FFFFFF"/>
          <w:lang w:val="en-US" w:eastAsia="zh-CN"/>
        </w:rPr>
      </w:pPr>
      <w:r>
        <w:rPr>
          <w:rFonts w:hint="eastAsia" w:ascii="Times New Roman" w:hAnsi="Times New Roman" w:eastAsia="仿宋_GB2312" w:cs="Times New Roman"/>
          <w:sz w:val="32"/>
          <w:lang w:val="en-US" w:eastAsia="zh-CN"/>
        </w:rPr>
        <w:t>16.向上</w:t>
      </w:r>
      <w:r>
        <w:rPr>
          <w:rFonts w:hint="eastAsia" w:ascii="仿宋_GB2312" w:hAnsi="Times New Roman" w:eastAsia="仿宋_GB2312" w:cs="Times New Roman"/>
          <w:sz w:val="32"/>
          <w:szCs w:val="32"/>
        </w:rPr>
        <w:t>争取到位资金8426.6万，完成目标任务的100.9%。积极开展向上对接工作，局主要领导到京对接工作2次，完成目标任务100%，到省对接工作15次，完成目标任务125%。</w:t>
      </w:r>
    </w:p>
    <w:p>
      <w:pPr>
        <w:keepNext w:val="0"/>
        <w:keepLines w:val="0"/>
        <w:pageBreakBefore w:val="0"/>
        <w:widowControl w:val="0"/>
        <w:kinsoku/>
        <w:wordWrap/>
        <w:overflowPunct/>
        <w:topLinePunct w:val="0"/>
        <w:autoSpaceDE/>
        <w:autoSpaceDN/>
        <w:bidi w:val="0"/>
        <w:spacing w:after="120" w:line="576" w:lineRule="exact"/>
        <w:ind w:left="0" w:leftChars="0" w:firstLine="640" w:firstLineChars="200"/>
        <w:jc w:val="both"/>
        <w:textAlignment w:val="auto"/>
        <w:outlineLvl w:val="2"/>
        <w:rPr>
          <w:rFonts w:hint="eastAsia" w:ascii="仿宋_GB2312" w:hAnsi="宋体" w:eastAsia="仿宋_GB2312" w:cs="宋体"/>
          <w:b w:val="0"/>
          <w:bCs w:val="0"/>
          <w:color w:val="FF000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000000"/>
          <w:kern w:val="0"/>
          <w:sz w:val="32"/>
          <w:szCs w:val="32"/>
          <w:highlight w:val="none"/>
          <w:shd w:val="clear" w:color="auto" w:fill="FFFFFF"/>
          <w:lang w:val="zh-CN" w:eastAsia="zh-CN" w:bidi="ar-SA"/>
        </w:rPr>
        <w:t>（三）结果应用情况。</w:t>
      </w:r>
    </w:p>
    <w:p>
      <w:pPr>
        <w:autoSpaceDE w:val="0"/>
        <w:autoSpaceDN w:val="0"/>
        <w:spacing w:line="576" w:lineRule="exact"/>
        <w:ind w:firstLine="640" w:firstLineChars="200"/>
        <w:rPr>
          <w:rFonts w:hint="eastAsia" w:ascii="Times New Roman" w:hAnsi="Times New Roman" w:eastAsia="仿宋_GB2312" w:cs="Times New Roman"/>
          <w:sz w:val="32"/>
          <w:lang w:val="zh-CN"/>
        </w:rPr>
      </w:pPr>
      <w:r>
        <w:rPr>
          <w:rFonts w:hint="eastAsia" w:ascii="仿宋_GB2312" w:hAnsi="Times New Roman" w:eastAsia="仿宋_GB2312" w:cs="Times New Roman"/>
          <w:sz w:val="32"/>
          <w:szCs w:val="32"/>
          <w:lang w:val="en-US" w:eastAsia="zh-CN"/>
        </w:rPr>
        <w:t>我局</w:t>
      </w:r>
      <w:r>
        <w:rPr>
          <w:rFonts w:hint="eastAsia" w:ascii="仿宋_GB2312" w:hAnsi="Times New Roman" w:eastAsia="仿宋_GB2312" w:cs="Times New Roman"/>
          <w:sz w:val="32"/>
          <w:szCs w:val="32"/>
          <w:lang w:val="zh-CN"/>
        </w:rPr>
        <w:t>将绩效自评</w:t>
      </w:r>
      <w:r>
        <w:rPr>
          <w:rFonts w:hint="eastAsia" w:ascii="仿宋_GB2312" w:hAnsi="Times New Roman" w:eastAsia="仿宋_GB2312" w:cs="Times New Roman"/>
          <w:sz w:val="32"/>
          <w:szCs w:val="32"/>
        </w:rPr>
        <w:t>结果作为次年政策优化、改进管理、预算</w:t>
      </w:r>
      <w:r>
        <w:rPr>
          <w:rFonts w:hint="eastAsia" w:ascii="仿宋_GB2312" w:hAnsi="Times New Roman" w:eastAsia="仿宋_GB2312" w:cs="Times New Roman"/>
          <w:sz w:val="32"/>
          <w:szCs w:val="32"/>
          <w:lang w:val="en-US" w:eastAsia="zh-CN"/>
        </w:rPr>
        <w:t>调剂</w:t>
      </w:r>
      <w:r>
        <w:rPr>
          <w:rFonts w:hint="eastAsia" w:ascii="仿宋_GB2312" w:hAnsi="Times New Roman" w:eastAsia="仿宋_GB2312" w:cs="Times New Roman"/>
          <w:sz w:val="32"/>
          <w:szCs w:val="32"/>
        </w:rPr>
        <w:t>、项目调整等的重要依据，对于低绩效或无绩效的项目，下一年度不再安排预算</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pacing w:val="-6"/>
          <w:sz w:val="32"/>
          <w:szCs w:val="32"/>
        </w:rPr>
        <w:t>按照预算绩效管理要求</w:t>
      </w:r>
      <w:r>
        <w:rPr>
          <w:rFonts w:hint="eastAsia" w:ascii="仿宋_GB2312" w:hAnsi="Times New Roman" w:eastAsia="仿宋_GB2312" w:cs="Times New Roman"/>
          <w:spacing w:val="-6"/>
          <w:sz w:val="32"/>
          <w:szCs w:val="32"/>
          <w:lang w:val="en-US" w:eastAsia="zh-CN"/>
        </w:rPr>
        <w:t>对所有项目全覆盖</w:t>
      </w:r>
      <w:r>
        <w:rPr>
          <w:rFonts w:hint="eastAsia" w:ascii="仿宋_GB2312" w:hAnsi="Times New Roman" w:eastAsia="仿宋_GB2312" w:cs="Times New Roman"/>
          <w:spacing w:val="-6"/>
          <w:sz w:val="32"/>
          <w:szCs w:val="32"/>
        </w:rPr>
        <w:t>开展绩效自评，</w:t>
      </w:r>
      <w:r>
        <w:rPr>
          <w:rFonts w:hint="eastAsia" w:ascii="仿宋_GB2312" w:hAnsi="Times New Roman" w:eastAsia="仿宋_GB2312" w:cs="Times New Roman"/>
          <w:spacing w:val="-6"/>
          <w:sz w:val="32"/>
          <w:szCs w:val="32"/>
          <w:lang w:val="en-US" w:eastAsia="zh-CN"/>
        </w:rPr>
        <w:t>并将</w:t>
      </w:r>
      <w:r>
        <w:rPr>
          <w:rFonts w:hint="eastAsia" w:ascii="仿宋_GB2312" w:hAnsi="Times New Roman" w:eastAsia="仿宋_GB2312" w:cs="Times New Roman"/>
          <w:sz w:val="32"/>
          <w:szCs w:val="32"/>
        </w:rPr>
        <w:t>绩效目标随部门年初预算同步公开，将绩效目标完成情况、部门整体支出绩效评价自评报告等绩效信息随部门年终决算</w:t>
      </w:r>
      <w:r>
        <w:rPr>
          <w:rFonts w:hint="eastAsia" w:ascii="仿宋_GB2312" w:hAnsi="Times New Roman" w:eastAsia="仿宋_GB2312" w:cs="Times New Roman"/>
          <w:sz w:val="32"/>
          <w:szCs w:val="32"/>
          <w:lang w:val="en-US" w:eastAsia="zh-CN"/>
        </w:rPr>
        <w:t>同步</w:t>
      </w:r>
      <w:r>
        <w:rPr>
          <w:rFonts w:hint="eastAsia" w:ascii="仿宋_GB2312" w:hAnsi="Times New Roman" w:eastAsia="仿宋_GB2312" w:cs="Times New Roman"/>
          <w:sz w:val="32"/>
          <w:szCs w:val="32"/>
        </w:rPr>
        <w:t>公开</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在预算执行过程中，建立项目资金管理台账，实时监控项目资金使用情况，并</w:t>
      </w:r>
      <w:r>
        <w:rPr>
          <w:rFonts w:ascii="Times New Roman" w:hAnsi="Times New Roman" w:eastAsia="仿宋_GB2312" w:cs="Times New Roman"/>
          <w:kern w:val="0"/>
          <w:sz w:val="32"/>
          <w:szCs w:val="32"/>
          <w:shd w:val="clear" w:color="auto" w:fill="FFFFFF"/>
          <w:lang w:val="zh-CN"/>
        </w:rPr>
        <w:t>根据项目工作实际和绩效监控结果，及时向财政部门提出相应项目的预算调整</w:t>
      </w:r>
      <w:r>
        <w:rPr>
          <w:rFonts w:hint="eastAsia" w:ascii="Times New Roman" w:hAnsi="Times New Roman" w:eastAsia="仿宋_GB2312" w:cs="Times New Roman"/>
          <w:kern w:val="0"/>
          <w:sz w:val="32"/>
          <w:szCs w:val="32"/>
          <w:shd w:val="clear" w:color="auto" w:fill="FFFFFF"/>
          <w:lang w:val="zh-CN"/>
        </w:rPr>
        <w:t>、</w:t>
      </w:r>
      <w:r>
        <w:rPr>
          <w:rFonts w:hint="eastAsia" w:ascii="Times New Roman" w:hAnsi="Times New Roman" w:eastAsia="仿宋_GB2312" w:cs="Times New Roman"/>
          <w:kern w:val="0"/>
          <w:sz w:val="32"/>
          <w:szCs w:val="32"/>
          <w:shd w:val="clear" w:color="auto" w:fill="FFFFFF"/>
          <w:lang w:val="en-US" w:eastAsia="zh-CN"/>
        </w:rPr>
        <w:t>调剂</w:t>
      </w:r>
      <w:r>
        <w:rPr>
          <w:rFonts w:ascii="Times New Roman" w:hAnsi="Times New Roman" w:eastAsia="仿宋_GB2312" w:cs="Times New Roman"/>
          <w:kern w:val="0"/>
          <w:sz w:val="32"/>
          <w:szCs w:val="32"/>
          <w:shd w:val="clear" w:color="auto" w:fill="FFFFFF"/>
          <w:lang w:val="zh-CN"/>
        </w:rPr>
        <w:t>申请，</w:t>
      </w:r>
      <w:r>
        <w:rPr>
          <w:rFonts w:hint="eastAsia" w:ascii="Times New Roman" w:hAnsi="Times New Roman" w:eastAsia="仿宋_GB2312" w:cs="Times New Roman"/>
          <w:kern w:val="0"/>
          <w:sz w:val="32"/>
          <w:szCs w:val="32"/>
          <w:shd w:val="clear" w:color="auto" w:fill="FFFFFF"/>
          <w:lang w:val="en-US" w:eastAsia="zh-CN"/>
        </w:rPr>
        <w:t>按时</w:t>
      </w:r>
      <w:r>
        <w:rPr>
          <w:rFonts w:ascii="Times New Roman" w:hAnsi="Times New Roman" w:eastAsia="仿宋_GB2312" w:cs="Times New Roman"/>
          <w:kern w:val="0"/>
          <w:sz w:val="32"/>
          <w:szCs w:val="32"/>
          <w:shd w:val="clear" w:color="auto" w:fill="FFFFFF"/>
          <w:lang w:val="zh-CN"/>
        </w:rPr>
        <w:t>向财政部门报送绩效监控、绩效自评、结果应用等绩效结果报告</w:t>
      </w:r>
      <w:r>
        <w:rPr>
          <w:rFonts w:hint="eastAsia" w:ascii="Times New Roman" w:hAnsi="Times New Roman" w:eastAsia="仿宋_GB2312" w:cs="Times New Roman"/>
          <w:kern w:val="0"/>
          <w:sz w:val="32"/>
          <w:szCs w:val="32"/>
          <w:shd w:val="clear" w:color="auto" w:fill="FFFFFF"/>
          <w:lang w:val="zh-CN"/>
        </w:rPr>
        <w:t>。</w:t>
      </w:r>
    </w:p>
    <w:p>
      <w:pPr>
        <w:keepNext w:val="0"/>
        <w:keepLines w:val="0"/>
        <w:pageBreakBefore w:val="0"/>
        <w:widowControl w:val="0"/>
        <w:numPr>
          <w:ilvl w:val="0"/>
          <w:numId w:val="10"/>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自评质量。</w:t>
      </w:r>
    </w:p>
    <w:p>
      <w:pPr>
        <w:keepNext w:val="0"/>
        <w:keepLines w:val="0"/>
        <w:pageBreakBefore w:val="0"/>
        <w:widowControl w:val="0"/>
        <w:kinsoku/>
        <w:wordWrap/>
        <w:overflowPunct/>
        <w:topLinePunct w:val="0"/>
        <w:autoSpaceDE/>
        <w:autoSpaceDN/>
        <w:bidi w:val="0"/>
        <w:adjustRightInd/>
        <w:snapToGrid/>
        <w:spacing w:beforeLines="30" w:line="576" w:lineRule="exact"/>
        <w:ind w:firstLine="640" w:firstLineChars="200"/>
        <w:jc w:val="both"/>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我局高度重视绩效自评工作，严格按照广元市财政局《关于开展2022年度部门绩效自评工作的通知》（广财绩〔2023〕5号）要求，对2022年度部门绩效认真开展了部门预算项目绩效自评、专项预算项目绩效自评、整体支出绩效自评，自评结果真实、客观地反映了我部门财政资金绩效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1"/>
        <w:rPr>
          <w:rFonts w:ascii="黑体" w:hAnsi="宋体" w:eastAsia="黑体" w:cs="宋体"/>
          <w:b w:val="0"/>
          <w:bCs w:val="0"/>
          <w:color w:val="000000"/>
          <w:kern w:val="0"/>
          <w:sz w:val="32"/>
          <w:szCs w:val="32"/>
          <w:highlight w:val="none"/>
          <w:shd w:val="clear" w:color="auto" w:fill="FFFFFF"/>
        </w:rPr>
      </w:pPr>
      <w:bookmarkStart w:id="118" w:name="_Toc5028"/>
      <w:bookmarkStart w:id="119" w:name="_Toc1526"/>
      <w:bookmarkStart w:id="120" w:name="_Toc10265"/>
      <w:bookmarkStart w:id="121" w:name="_Toc12568"/>
      <w:r>
        <w:rPr>
          <w:rFonts w:hint="eastAsia" w:ascii="黑体" w:hAnsi="宋体" w:eastAsia="黑体" w:cs="宋体"/>
          <w:b w:val="0"/>
          <w:bCs w:val="0"/>
          <w:color w:val="000000"/>
          <w:kern w:val="0"/>
          <w:sz w:val="32"/>
          <w:szCs w:val="32"/>
          <w:highlight w:val="none"/>
          <w:shd w:val="clear" w:color="auto" w:fill="FFFFFF"/>
        </w:rPr>
        <w:t>四、评价结论及建议</w:t>
      </w:r>
      <w:bookmarkEnd w:id="118"/>
      <w:bookmarkEnd w:id="119"/>
      <w:bookmarkEnd w:id="120"/>
      <w:bookmarkEnd w:id="121"/>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Times New Roman" w:hAnsi="Times New Roman" w:eastAsia="仿宋_GB2312" w:cs="Times New Roman"/>
          <w:sz w:val="32"/>
          <w:lang w:val="en-US" w:eastAsia="zh-CN"/>
        </w:rPr>
      </w:pPr>
      <w:r>
        <w:rPr>
          <w:rFonts w:hint="eastAsia" w:ascii="仿宋_GB2312" w:hAnsi="仿宋" w:eastAsia="仿宋_GB2312" w:cs="仿宋_GB2312"/>
          <w:color w:val="000000"/>
          <w:sz w:val="32"/>
          <w:szCs w:val="32"/>
          <w:lang w:val="zh-CN"/>
        </w:rPr>
        <w:t>总体来看。202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lang w:val="zh-CN"/>
        </w:rPr>
        <w:t>年度我</w:t>
      </w:r>
      <w:r>
        <w:rPr>
          <w:rFonts w:hint="eastAsia" w:ascii="仿宋_GB2312" w:hAnsi="仿宋" w:eastAsia="仿宋_GB2312" w:cs="仿宋_GB2312"/>
          <w:color w:val="000000"/>
          <w:sz w:val="32"/>
          <w:szCs w:val="32"/>
          <w:lang w:val="en-US" w:eastAsia="zh-CN"/>
        </w:rPr>
        <w:t>局</w:t>
      </w:r>
      <w:r>
        <w:rPr>
          <w:rFonts w:hint="eastAsia" w:ascii="仿宋_GB2312" w:hAnsi="仿宋" w:eastAsia="仿宋_GB2312" w:cs="仿宋_GB2312"/>
          <w:color w:val="000000"/>
          <w:sz w:val="32"/>
          <w:szCs w:val="32"/>
          <w:lang w:val="zh-CN"/>
        </w:rPr>
        <w:t>较好地完成了年度总体绩效目标，部门综合管理有序、项目规划合理、项目实施效果明显。具体情况分析：</w:t>
      </w:r>
      <w:r>
        <w:rPr>
          <w:rFonts w:hint="eastAsia" w:ascii="仿宋_GB2312" w:hAnsi="仿宋" w:eastAsia="仿宋_GB2312" w:cs="仿宋_GB2312"/>
          <w:color w:val="000000"/>
          <w:sz w:val="32"/>
          <w:szCs w:val="32"/>
          <w:lang w:val="en-US" w:eastAsia="zh-CN"/>
        </w:rPr>
        <w:t>整体支出</w:t>
      </w:r>
      <w:r>
        <w:rPr>
          <w:rFonts w:hint="eastAsia" w:ascii="仿宋_GB2312" w:hAnsi="仿宋" w:eastAsia="仿宋_GB2312" w:cs="仿宋_GB2312"/>
          <w:color w:val="000000"/>
          <w:sz w:val="32"/>
          <w:szCs w:val="32"/>
          <w:lang w:val="zh-CN"/>
        </w:rPr>
        <w:t>绩效目标主要围绕当年人社工作要点，根据项目性质设置各项绩效指标，包括项目完成指标、效益指标和满意度指标。各项目绩效目标设置均满足要素完整、细化量化的要求，虽因</w:t>
      </w:r>
      <w:r>
        <w:rPr>
          <w:rFonts w:hint="eastAsia" w:ascii="仿宋_GB2312" w:hAnsi="仿宋" w:eastAsia="仿宋_GB2312" w:cs="仿宋_GB2312"/>
          <w:color w:val="000000"/>
          <w:sz w:val="32"/>
          <w:szCs w:val="32"/>
          <w:lang w:val="en-US" w:eastAsia="zh-CN"/>
        </w:rPr>
        <w:t>疫情影响</w:t>
      </w:r>
      <w:r>
        <w:rPr>
          <w:rFonts w:hint="eastAsia" w:ascii="仿宋_GB2312" w:hAnsi="仿宋" w:eastAsia="仿宋_GB2312" w:cs="仿宋_GB2312"/>
          <w:color w:val="000000"/>
          <w:sz w:val="32"/>
          <w:szCs w:val="32"/>
          <w:lang w:val="zh-CN"/>
        </w:rPr>
        <w:t>，</w:t>
      </w:r>
      <w:r>
        <w:rPr>
          <w:rFonts w:hint="eastAsia" w:ascii="仿宋_GB2312" w:hAnsi="仿宋" w:eastAsia="仿宋_GB2312" w:cs="仿宋_GB2312"/>
          <w:color w:val="000000"/>
          <w:sz w:val="32"/>
          <w:szCs w:val="32"/>
          <w:lang w:val="en-US" w:eastAsia="zh-CN"/>
        </w:rPr>
        <w:t>个别项目没有实施，</w:t>
      </w:r>
      <w:r>
        <w:rPr>
          <w:rFonts w:hint="eastAsia" w:ascii="仿宋_GB2312" w:hAnsi="仿宋" w:eastAsia="仿宋_GB2312" w:cs="仿宋_GB2312"/>
          <w:color w:val="000000"/>
          <w:sz w:val="32"/>
          <w:szCs w:val="32"/>
          <w:lang w:val="zh-CN"/>
        </w:rPr>
        <w:t>但截至目前整体</w:t>
      </w:r>
      <w:r>
        <w:rPr>
          <w:rFonts w:hint="eastAsia" w:ascii="仿宋_GB2312" w:hAnsi="仿宋" w:eastAsia="仿宋_GB2312" w:cs="仿宋_GB2312"/>
          <w:color w:val="000000"/>
          <w:sz w:val="32"/>
          <w:szCs w:val="32"/>
          <w:lang w:val="en-US" w:eastAsia="zh-CN"/>
        </w:rPr>
        <w:t>支出</w:t>
      </w:r>
      <w:r>
        <w:rPr>
          <w:rFonts w:hint="eastAsia" w:ascii="仿宋_GB2312" w:hAnsi="仿宋" w:eastAsia="仿宋_GB2312" w:cs="仿宋_GB2312"/>
          <w:color w:val="000000"/>
          <w:sz w:val="32"/>
          <w:szCs w:val="32"/>
          <w:lang w:val="zh-CN"/>
        </w:rPr>
        <w:t>预期目标</w:t>
      </w:r>
      <w:r>
        <w:rPr>
          <w:rFonts w:hint="eastAsia" w:ascii="仿宋_GB2312" w:hAnsi="仿宋" w:eastAsia="仿宋_GB2312" w:cs="仿宋_GB2312"/>
          <w:color w:val="000000"/>
          <w:sz w:val="32"/>
          <w:szCs w:val="32"/>
          <w:lang w:val="en-US" w:eastAsia="zh-CN"/>
        </w:rPr>
        <w:t>均已</w:t>
      </w:r>
      <w:r>
        <w:rPr>
          <w:rFonts w:hint="eastAsia" w:ascii="仿宋_GB2312" w:hAnsi="仿宋" w:eastAsia="仿宋_GB2312" w:cs="仿宋_GB2312"/>
          <w:color w:val="000000"/>
          <w:sz w:val="32"/>
          <w:szCs w:val="32"/>
          <w:lang w:val="zh-CN"/>
        </w:rPr>
        <w:t>完成；预算编制准确，支出控制较好，预算完成率较高；绩效目标、自评报告</w:t>
      </w:r>
      <w:r>
        <w:rPr>
          <w:rFonts w:hint="eastAsia" w:ascii="仿宋_GB2312" w:hAnsi="仿宋" w:eastAsia="仿宋_GB2312" w:cs="仿宋_GB2312"/>
          <w:color w:val="000000"/>
          <w:sz w:val="32"/>
          <w:szCs w:val="32"/>
          <w:lang w:val="en-US" w:eastAsia="zh-CN"/>
        </w:rPr>
        <w:t>等绩效信息</w:t>
      </w:r>
      <w:r>
        <w:rPr>
          <w:rFonts w:hint="eastAsia" w:ascii="仿宋_GB2312" w:hAnsi="仿宋" w:eastAsia="仿宋_GB2312" w:cs="仿宋_GB2312"/>
          <w:color w:val="000000"/>
          <w:sz w:val="32"/>
          <w:szCs w:val="32"/>
          <w:lang w:val="zh-CN"/>
        </w:rPr>
        <w:t>同部门预决算一并公开，绩效评价结果运用到了年初预算编制和</w:t>
      </w:r>
      <w:r>
        <w:rPr>
          <w:rFonts w:hint="eastAsia" w:ascii="仿宋_GB2312" w:hAnsi="仿宋" w:eastAsia="仿宋_GB2312" w:cs="仿宋_GB2312"/>
          <w:color w:val="000000"/>
          <w:sz w:val="32"/>
          <w:szCs w:val="32"/>
          <w:lang w:val="en-US" w:eastAsia="zh-CN"/>
        </w:rPr>
        <w:t>项目</w:t>
      </w:r>
      <w:r>
        <w:rPr>
          <w:rFonts w:hint="eastAsia" w:ascii="仿宋_GB2312" w:hAnsi="仿宋" w:eastAsia="仿宋_GB2312" w:cs="仿宋_GB2312"/>
          <w:color w:val="000000"/>
          <w:sz w:val="32"/>
          <w:szCs w:val="32"/>
          <w:lang w:val="zh-CN"/>
        </w:rPr>
        <w:t>资金分配上，使预算编制更加精准，</w:t>
      </w:r>
      <w:r>
        <w:rPr>
          <w:rFonts w:hint="eastAsia" w:ascii="仿宋_GB2312" w:hAnsi="仿宋" w:eastAsia="仿宋_GB2312" w:cs="仿宋_GB2312"/>
          <w:color w:val="000000"/>
          <w:sz w:val="32"/>
          <w:szCs w:val="32"/>
          <w:lang w:val="en-US" w:eastAsia="zh-CN"/>
        </w:rPr>
        <w:t>项目</w:t>
      </w:r>
      <w:r>
        <w:rPr>
          <w:rFonts w:hint="eastAsia" w:ascii="仿宋_GB2312" w:hAnsi="仿宋" w:eastAsia="仿宋_GB2312" w:cs="仿宋_GB2312"/>
          <w:color w:val="000000"/>
          <w:sz w:val="32"/>
          <w:szCs w:val="32"/>
          <w:lang w:val="zh-CN"/>
        </w:rPr>
        <w:t>资金分配更为合理。从部门预算管理、专项预算管理、绩效结果应用、自评质量四个方面对市人力资源社会保障局整体支出进行绩效评价，</w:t>
      </w:r>
      <w:r>
        <w:rPr>
          <w:rFonts w:hint="eastAsia" w:ascii="仿宋_GB2312" w:hAnsi="Times New Roman" w:eastAsia="仿宋_GB2312" w:cs="Times New Roman"/>
          <w:sz w:val="32"/>
          <w:szCs w:val="32"/>
          <w:lang w:val="en-US" w:eastAsia="zh-CN"/>
        </w:rPr>
        <w:t>最终自评得98分。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w:t>
      </w:r>
      <w:r>
        <w:rPr>
          <w:rFonts w:hint="eastAsia" w:ascii="楷体_GB2312" w:hAnsi="楷体_GB2312" w:eastAsia="楷体_GB2312" w:cs="楷体_GB2312"/>
          <w:b w:val="0"/>
          <w:bCs w:val="0"/>
          <w:color w:val="000000"/>
          <w:kern w:val="0"/>
          <w:sz w:val="32"/>
          <w:szCs w:val="32"/>
          <w:highlight w:val="none"/>
          <w:shd w:val="clear" w:color="auto" w:fill="FFFFFF"/>
          <w:lang w:val="en-US" w:eastAsia="zh-CN"/>
        </w:rPr>
        <w:t>二</w:t>
      </w:r>
      <w:r>
        <w:rPr>
          <w:rFonts w:hint="eastAsia" w:ascii="楷体_GB2312" w:hAnsi="楷体_GB2312" w:eastAsia="楷体_GB2312" w:cs="楷体_GB2312"/>
          <w:b w:val="0"/>
          <w:bCs w:val="0"/>
          <w:color w:val="000000"/>
          <w:kern w:val="0"/>
          <w:sz w:val="32"/>
          <w:szCs w:val="32"/>
          <w:highlight w:val="none"/>
          <w:shd w:val="clear" w:color="auto" w:fill="FFFFFF"/>
          <w:lang w:val="zh-CN"/>
        </w:rPr>
        <w:t>）存在问题。</w:t>
      </w:r>
    </w:p>
    <w:p>
      <w:pPr>
        <w:keepNext w:val="0"/>
        <w:keepLines w:val="0"/>
        <w:pageBreakBefore w:val="0"/>
        <w:widowControl w:val="0"/>
        <w:numPr>
          <w:ilvl w:val="0"/>
          <w:numId w:val="0"/>
        </w:numPr>
        <w:kinsoku/>
        <w:wordWrap/>
        <w:overflowPunct/>
        <w:topLinePunct w:val="0"/>
        <w:autoSpaceDE/>
        <w:autoSpaceDN/>
        <w:bidi w:val="0"/>
        <w:spacing w:beforeLines="30" w:line="576" w:lineRule="exact"/>
        <w:ind w:firstLine="640" w:firstLineChars="200"/>
        <w:jc w:val="both"/>
        <w:textAlignment w:val="auto"/>
        <w:rPr>
          <w:rFonts w:hint="default" w:ascii="仿宋_GB2312" w:hAnsi="Times New Roman" w:eastAsia="仿宋_GB2312" w:cs="Times New Roman"/>
          <w:kern w:val="0"/>
          <w:sz w:val="24"/>
          <w:szCs w:val="20"/>
          <w:lang w:val="en-US" w:eastAsia="zh-CN" w:bidi="ar-SA"/>
        </w:rPr>
      </w:pPr>
      <w:r>
        <w:rPr>
          <w:rFonts w:ascii="仿宋_GB2312" w:hAnsi="Times New Roman" w:eastAsia="仿宋_GB2312" w:cs="Times New Roman"/>
          <w:kern w:val="0"/>
          <w:sz w:val="32"/>
          <w:szCs w:val="32"/>
          <w:shd w:val="clear" w:color="auto" w:fill="FFFFFF"/>
          <w:lang w:val="zh-CN" w:eastAsia="zh-CN" w:bidi="ar-SA"/>
        </w:rPr>
        <w:t>通过项目绩效自评发现，</w:t>
      </w:r>
      <w:r>
        <w:rPr>
          <w:rFonts w:hint="eastAsia" w:ascii="仿宋_GB2312" w:hAnsi="Times New Roman" w:eastAsia="仿宋_GB2312" w:cs="Times New Roman"/>
          <w:kern w:val="0"/>
          <w:sz w:val="32"/>
          <w:szCs w:val="32"/>
          <w:shd w:val="clear" w:color="auto" w:fill="FFFFFF"/>
          <w:lang w:val="en-US" w:eastAsia="zh-CN" w:bidi="ar-SA"/>
        </w:rPr>
        <w:t>本部门</w:t>
      </w:r>
      <w:r>
        <w:rPr>
          <w:rFonts w:ascii="仿宋_GB2312" w:hAnsi="Times New Roman" w:eastAsia="仿宋_GB2312" w:cs="Times New Roman"/>
          <w:kern w:val="0"/>
          <w:sz w:val="32"/>
          <w:szCs w:val="32"/>
          <w:shd w:val="clear" w:color="auto" w:fill="FFFFFF"/>
          <w:lang w:val="zh-CN" w:eastAsia="zh-CN" w:bidi="ar-SA"/>
        </w:rPr>
        <w:t>绩效管理水平在绩效</w:t>
      </w:r>
      <w:r>
        <w:rPr>
          <w:rFonts w:hint="eastAsia" w:ascii="仿宋_GB2312" w:hAnsi="Times New Roman" w:eastAsia="仿宋_GB2312" w:cs="Times New Roman"/>
          <w:kern w:val="0"/>
          <w:sz w:val="32"/>
          <w:szCs w:val="32"/>
          <w:shd w:val="clear" w:color="auto" w:fill="FFFFFF"/>
          <w:lang w:val="en-US" w:eastAsia="zh-CN" w:bidi="ar-SA"/>
        </w:rPr>
        <w:t>目标</w:t>
      </w:r>
      <w:r>
        <w:rPr>
          <w:rFonts w:ascii="仿宋_GB2312" w:hAnsi="Times New Roman" w:eastAsia="仿宋_GB2312" w:cs="Times New Roman"/>
          <w:kern w:val="0"/>
          <w:sz w:val="32"/>
          <w:szCs w:val="32"/>
          <w:shd w:val="clear" w:color="auto" w:fill="FFFFFF"/>
          <w:lang w:val="zh-CN" w:eastAsia="zh-CN" w:bidi="ar-SA"/>
        </w:rPr>
        <w:t>制定、绩效自评等重要环节还有</w:t>
      </w:r>
      <w:r>
        <w:rPr>
          <w:rFonts w:hint="eastAsia" w:ascii="仿宋_GB2312" w:hAnsi="Times New Roman" w:eastAsia="仿宋_GB2312" w:cs="Times New Roman"/>
          <w:kern w:val="0"/>
          <w:sz w:val="32"/>
          <w:szCs w:val="32"/>
          <w:shd w:val="clear" w:color="auto" w:fill="FFFFFF"/>
          <w:lang w:val="en-US" w:eastAsia="zh-CN" w:bidi="ar-SA"/>
        </w:rPr>
        <w:t>待进一步提升</w:t>
      </w:r>
      <w:r>
        <w:rPr>
          <w:rFonts w:ascii="仿宋_GB2312" w:hAnsi="Times New Roman" w:eastAsia="仿宋_GB2312" w:cs="Times New Roman"/>
          <w:kern w:val="0"/>
          <w:sz w:val="32"/>
          <w:szCs w:val="32"/>
          <w:shd w:val="clear" w:color="auto" w:fill="FFFFFF"/>
          <w:lang w:val="zh-CN" w:eastAsia="zh-CN" w:bidi="ar-SA"/>
        </w:rPr>
        <w:t>。</w:t>
      </w:r>
      <w:r>
        <w:rPr>
          <w:rFonts w:ascii="仿宋_GB2312" w:hAnsi="Times New Roman" w:eastAsia="仿宋_GB2312" w:cs="Times New Roman"/>
          <w:b/>
          <w:bCs/>
          <w:i w:val="0"/>
          <w:iCs w:val="0"/>
          <w:kern w:val="0"/>
          <w:sz w:val="32"/>
          <w:szCs w:val="32"/>
          <w:shd w:val="clear" w:color="auto" w:fill="FFFFFF"/>
          <w:lang w:val="zh-CN" w:eastAsia="zh-CN" w:bidi="ar-SA"/>
        </w:rPr>
        <w:t>一是</w:t>
      </w:r>
      <w:r>
        <w:rPr>
          <w:rFonts w:ascii="仿宋_GB2312" w:hAnsi="Times New Roman" w:eastAsia="仿宋_GB2312" w:cs="Times New Roman"/>
          <w:kern w:val="0"/>
          <w:sz w:val="32"/>
          <w:szCs w:val="32"/>
          <w:shd w:val="clear" w:color="auto" w:fill="FFFFFF"/>
          <w:lang w:val="zh-CN" w:eastAsia="zh-CN" w:bidi="ar-SA"/>
        </w:rPr>
        <w:t>绩效</w:t>
      </w:r>
      <w:r>
        <w:rPr>
          <w:rFonts w:hint="eastAsia" w:ascii="仿宋_GB2312" w:hAnsi="Times New Roman" w:eastAsia="仿宋_GB2312" w:cs="Times New Roman"/>
          <w:kern w:val="0"/>
          <w:sz w:val="32"/>
          <w:szCs w:val="32"/>
          <w:shd w:val="clear" w:color="auto" w:fill="FFFFFF"/>
          <w:lang w:val="en-US" w:eastAsia="zh-CN" w:bidi="ar-SA"/>
        </w:rPr>
        <w:t>目标制定的</w:t>
      </w:r>
      <w:r>
        <w:rPr>
          <w:rFonts w:ascii="仿宋_GB2312" w:hAnsi="Times New Roman" w:eastAsia="仿宋_GB2312" w:cs="Times New Roman"/>
          <w:kern w:val="0"/>
          <w:sz w:val="32"/>
          <w:szCs w:val="32"/>
          <w:shd w:val="clear" w:color="auto" w:fill="FFFFFF"/>
          <w:lang w:val="zh-CN" w:eastAsia="zh-CN" w:bidi="ar-SA"/>
        </w:rPr>
        <w:t>合理</w:t>
      </w:r>
      <w:r>
        <w:rPr>
          <w:rFonts w:hint="eastAsia" w:ascii="仿宋_GB2312" w:hAnsi="Times New Roman" w:eastAsia="仿宋_GB2312" w:cs="Times New Roman"/>
          <w:kern w:val="0"/>
          <w:sz w:val="32"/>
          <w:szCs w:val="32"/>
          <w:shd w:val="clear" w:color="auto" w:fill="FFFFFF"/>
          <w:lang w:val="en-US" w:eastAsia="zh-CN" w:bidi="ar-SA"/>
        </w:rPr>
        <w:t>性</w:t>
      </w:r>
      <w:r>
        <w:rPr>
          <w:rFonts w:ascii="仿宋_GB2312" w:hAnsi="Times New Roman" w:eastAsia="仿宋_GB2312" w:cs="Times New Roman"/>
          <w:kern w:val="0"/>
          <w:sz w:val="32"/>
          <w:szCs w:val="32"/>
          <w:shd w:val="clear" w:color="auto" w:fill="FFFFFF"/>
          <w:lang w:val="zh-CN" w:eastAsia="zh-CN" w:bidi="ar-SA"/>
        </w:rPr>
        <w:t>和精准</w:t>
      </w:r>
      <w:r>
        <w:rPr>
          <w:rFonts w:hint="eastAsia" w:ascii="仿宋_GB2312" w:hAnsi="Times New Roman" w:eastAsia="仿宋_GB2312" w:cs="Times New Roman"/>
          <w:kern w:val="0"/>
          <w:sz w:val="32"/>
          <w:szCs w:val="32"/>
          <w:shd w:val="clear" w:color="auto" w:fill="FFFFFF"/>
          <w:lang w:val="en-US" w:eastAsia="zh-CN" w:bidi="ar-SA"/>
        </w:rPr>
        <w:t>度有待提高</w:t>
      </w:r>
      <w:r>
        <w:rPr>
          <w:rFonts w:ascii="仿宋_GB2312" w:hAnsi="Times New Roman" w:eastAsia="仿宋_GB2312" w:cs="Times New Roman"/>
          <w:kern w:val="0"/>
          <w:sz w:val="32"/>
          <w:szCs w:val="32"/>
          <w:shd w:val="clear" w:color="auto" w:fill="FFFFFF"/>
          <w:lang w:val="zh-CN" w:eastAsia="zh-CN" w:bidi="ar-SA"/>
        </w:rPr>
        <w:t>。由于我</w:t>
      </w:r>
      <w:r>
        <w:rPr>
          <w:rFonts w:hint="eastAsia" w:ascii="仿宋_GB2312" w:hAnsi="Times New Roman" w:eastAsia="仿宋_GB2312" w:cs="Times New Roman"/>
          <w:kern w:val="0"/>
          <w:sz w:val="32"/>
          <w:szCs w:val="32"/>
          <w:shd w:val="clear" w:color="auto" w:fill="FFFFFF"/>
          <w:lang w:val="en-US" w:eastAsia="zh-CN" w:bidi="ar-SA"/>
        </w:rPr>
        <w:t>局</w:t>
      </w:r>
      <w:r>
        <w:rPr>
          <w:rFonts w:ascii="仿宋_GB2312" w:hAnsi="Times New Roman" w:eastAsia="仿宋_GB2312" w:cs="Times New Roman"/>
          <w:kern w:val="0"/>
          <w:sz w:val="32"/>
          <w:szCs w:val="32"/>
          <w:shd w:val="clear" w:color="auto" w:fill="FFFFFF"/>
          <w:lang w:val="zh-CN" w:eastAsia="zh-CN" w:bidi="ar-SA"/>
        </w:rPr>
        <w:t>项目较多，各</w:t>
      </w:r>
      <w:r>
        <w:rPr>
          <w:rFonts w:hint="eastAsia" w:ascii="仿宋_GB2312" w:hAnsi="Times New Roman" w:eastAsia="仿宋_GB2312" w:cs="Times New Roman"/>
          <w:kern w:val="0"/>
          <w:sz w:val="32"/>
          <w:szCs w:val="32"/>
          <w:shd w:val="clear" w:color="auto" w:fill="FFFFFF"/>
          <w:lang w:val="en-US" w:eastAsia="zh-CN" w:bidi="ar-SA"/>
        </w:rPr>
        <w:t>科</w:t>
      </w:r>
      <w:r>
        <w:rPr>
          <w:rFonts w:ascii="仿宋_GB2312" w:hAnsi="Times New Roman" w:eastAsia="仿宋_GB2312" w:cs="Times New Roman"/>
          <w:kern w:val="0"/>
          <w:sz w:val="32"/>
          <w:szCs w:val="32"/>
          <w:shd w:val="clear" w:color="auto" w:fill="FFFFFF"/>
          <w:lang w:val="zh-CN" w:eastAsia="zh-CN" w:bidi="ar-SA"/>
        </w:rPr>
        <w:t>室</w:t>
      </w:r>
      <w:r>
        <w:rPr>
          <w:rFonts w:hint="eastAsia" w:ascii="仿宋_GB2312" w:hAnsi="Times New Roman" w:eastAsia="仿宋_GB2312" w:cs="Times New Roman"/>
          <w:kern w:val="0"/>
          <w:sz w:val="32"/>
          <w:szCs w:val="32"/>
          <w:shd w:val="clear" w:color="auto" w:fill="FFFFFF"/>
          <w:lang w:val="zh-CN" w:eastAsia="zh-CN" w:bidi="ar-SA"/>
        </w:rPr>
        <w:t>、</w:t>
      </w:r>
      <w:r>
        <w:rPr>
          <w:rFonts w:ascii="仿宋_GB2312" w:hAnsi="Times New Roman" w:eastAsia="仿宋_GB2312" w:cs="Times New Roman"/>
          <w:kern w:val="0"/>
          <w:sz w:val="32"/>
          <w:szCs w:val="32"/>
          <w:shd w:val="clear" w:color="auto" w:fill="FFFFFF"/>
          <w:lang w:val="zh-CN" w:eastAsia="zh-CN" w:bidi="ar-SA"/>
        </w:rPr>
        <w:t>单位在制定绩效目标时存在将数量指标</w:t>
      </w:r>
      <w:r>
        <w:rPr>
          <w:rFonts w:hint="eastAsia" w:ascii="仿宋_GB2312" w:hAnsi="Times New Roman" w:eastAsia="仿宋_GB2312" w:cs="Times New Roman"/>
          <w:kern w:val="0"/>
          <w:sz w:val="32"/>
          <w:szCs w:val="32"/>
          <w:shd w:val="clear" w:color="auto" w:fill="FFFFFF"/>
          <w:lang w:val="zh-CN" w:eastAsia="zh-CN" w:bidi="ar-SA"/>
        </w:rPr>
        <w:t>、</w:t>
      </w:r>
      <w:r>
        <w:rPr>
          <w:rFonts w:ascii="仿宋_GB2312" w:hAnsi="Times New Roman" w:eastAsia="仿宋_GB2312" w:cs="Times New Roman"/>
          <w:kern w:val="0"/>
          <w:sz w:val="32"/>
          <w:szCs w:val="32"/>
          <w:shd w:val="clear" w:color="auto" w:fill="FFFFFF"/>
          <w:lang w:val="zh-CN" w:eastAsia="zh-CN" w:bidi="ar-SA"/>
        </w:rPr>
        <w:t>质量指标</w:t>
      </w:r>
      <w:r>
        <w:rPr>
          <w:rFonts w:hint="eastAsia" w:ascii="仿宋_GB2312" w:hAnsi="Times New Roman" w:eastAsia="仿宋_GB2312" w:cs="Times New Roman"/>
          <w:kern w:val="0"/>
          <w:sz w:val="32"/>
          <w:szCs w:val="32"/>
          <w:shd w:val="clear" w:color="auto" w:fill="FFFFFF"/>
          <w:lang w:val="zh-CN" w:eastAsia="zh-CN" w:bidi="ar-SA"/>
        </w:rPr>
        <w:t>、</w:t>
      </w:r>
      <w:r>
        <w:rPr>
          <w:rFonts w:hint="eastAsia" w:ascii="仿宋_GB2312" w:hAnsi="Times New Roman" w:eastAsia="仿宋_GB2312" w:cs="Times New Roman"/>
          <w:kern w:val="0"/>
          <w:sz w:val="32"/>
          <w:szCs w:val="32"/>
          <w:shd w:val="clear" w:color="auto" w:fill="FFFFFF"/>
          <w:lang w:val="en-US" w:eastAsia="zh-CN" w:bidi="ar-SA"/>
        </w:rPr>
        <w:t>效益指标混用的</w:t>
      </w:r>
      <w:r>
        <w:rPr>
          <w:rFonts w:ascii="仿宋_GB2312" w:hAnsi="Times New Roman" w:eastAsia="仿宋_GB2312" w:cs="Times New Roman"/>
          <w:kern w:val="0"/>
          <w:sz w:val="32"/>
          <w:szCs w:val="32"/>
          <w:shd w:val="clear" w:color="auto" w:fill="FFFFFF"/>
          <w:lang w:val="zh-CN" w:eastAsia="zh-CN" w:bidi="ar-SA"/>
        </w:rPr>
        <w:t>情况</w:t>
      </w:r>
      <w:r>
        <w:rPr>
          <w:rFonts w:hint="eastAsia" w:ascii="仿宋_GB2312" w:hAnsi="Times New Roman" w:eastAsia="仿宋_GB2312" w:cs="Times New Roman"/>
          <w:kern w:val="0"/>
          <w:sz w:val="32"/>
          <w:szCs w:val="32"/>
          <w:shd w:val="clear" w:color="auto" w:fill="FFFFFF"/>
          <w:lang w:val="zh-CN" w:eastAsia="zh-CN" w:bidi="ar-SA"/>
        </w:rPr>
        <w:t>。</w:t>
      </w:r>
      <w:r>
        <w:rPr>
          <w:rFonts w:hint="eastAsia" w:ascii="仿宋_GB2312" w:hAnsi="Times New Roman" w:eastAsia="仿宋_GB2312" w:cs="Times New Roman"/>
          <w:b/>
          <w:bCs/>
          <w:kern w:val="0"/>
          <w:sz w:val="32"/>
          <w:szCs w:val="32"/>
          <w:shd w:val="clear" w:color="auto" w:fill="FFFFFF"/>
          <w:lang w:val="en-US" w:eastAsia="zh-CN" w:bidi="ar-SA"/>
        </w:rPr>
        <w:t>二是</w:t>
      </w:r>
      <w:r>
        <w:rPr>
          <w:rFonts w:hint="eastAsia" w:ascii="仿宋_GB2312" w:hAnsi="Times New Roman" w:eastAsia="仿宋_GB2312" w:cs="Times New Roman"/>
          <w:kern w:val="0"/>
          <w:sz w:val="32"/>
          <w:szCs w:val="32"/>
          <w:shd w:val="clear" w:color="auto" w:fill="FFFFFF"/>
          <w:lang w:val="en-US" w:eastAsia="zh-CN" w:bidi="ar-SA"/>
        </w:rPr>
        <w:t>绩效评价水平有待加强。</w:t>
      </w:r>
      <w:r>
        <w:rPr>
          <w:rFonts w:hint="eastAsia" w:ascii="仿宋_GB2312" w:hAnsi="Times New Roman" w:eastAsia="仿宋_GB2312" w:cs="Times New Roman"/>
          <w:kern w:val="0"/>
          <w:sz w:val="32"/>
          <w:szCs w:val="32"/>
          <w:lang w:val="en-US" w:eastAsia="zh-CN" w:bidi="ar-SA"/>
        </w:rPr>
        <w:t>因财政下发的绩效评价体系、自评表、自评报告模板等每年都有所变化，且口径不统一，部门、单位在开展自评过程中容易出现理解性误差，导致绩效评价工作效率较低且评价效果不理想。</w:t>
      </w:r>
    </w:p>
    <w:p>
      <w:pPr>
        <w:keepNext w:val="0"/>
        <w:keepLines w:val="0"/>
        <w:pageBreakBefore w:val="0"/>
        <w:widowControl w:val="0"/>
        <w:numPr>
          <w:ilvl w:val="0"/>
          <w:numId w:val="9"/>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outlineLvl w:val="2"/>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改进建议。</w:t>
      </w:r>
    </w:p>
    <w:p>
      <w:pPr>
        <w:keepNext w:val="0"/>
        <w:keepLines w:val="0"/>
        <w:pageBreakBefore w:val="0"/>
        <w:widowControl w:val="0"/>
        <w:numPr>
          <w:ilvl w:val="0"/>
          <w:numId w:val="0"/>
        </w:numPr>
        <w:kinsoku/>
        <w:wordWrap/>
        <w:overflowPunct/>
        <w:topLinePunct w:val="0"/>
        <w:autoSpaceDE/>
        <w:autoSpaceDN/>
        <w:bidi w:val="0"/>
        <w:spacing w:beforeLines="30" w:line="576" w:lineRule="exact"/>
        <w:ind w:firstLine="640" w:firstLineChars="200"/>
        <w:jc w:val="both"/>
        <w:textAlignment w:val="auto"/>
        <w:rPr>
          <w:rFonts w:hint="eastAsia" w:ascii="仿宋_GB2312" w:hAnsi="Times New Roman" w:eastAsia="仿宋_GB2312" w:cs="Times New Roman"/>
          <w:kern w:val="0"/>
          <w:sz w:val="32"/>
          <w:szCs w:val="32"/>
          <w:shd w:val="clear" w:color="auto" w:fill="FFFFFF"/>
          <w:lang w:val="en-US" w:eastAsia="zh-CN" w:bidi="ar-SA"/>
        </w:rPr>
      </w:pPr>
      <w:r>
        <w:rPr>
          <w:rFonts w:hint="eastAsia" w:ascii="仿宋_GB2312" w:hAnsi="Times New Roman" w:eastAsia="仿宋_GB2312" w:cs="Times New Roman"/>
          <w:kern w:val="0"/>
          <w:sz w:val="32"/>
          <w:szCs w:val="32"/>
          <w:shd w:val="clear" w:color="auto" w:fill="FFFFFF"/>
          <w:lang w:val="en-US" w:eastAsia="zh-CN" w:bidi="ar-SA"/>
        </w:rPr>
        <w:t>一是在预算绩效编制环节，要加强预算绩效管理培训，提高各业务科室、单位对绩效目标的重视程度，增强其对各项绩效指标的理解和认识，统一填报口径，提高绩效目标的合理性和精准度。二是在绩效评价环节，财政部门应加强指导，不能单方面依靠文件安排工作，必要时应对各部门、单位具体负责绩效评价的人员开展专题培训，统一评价口径，确保提高绩效评价工作效率的同时达到预期效果。</w:t>
      </w:r>
    </w:p>
    <w:p>
      <w:pPr>
        <w:keepNext w:val="0"/>
        <w:keepLines w:val="0"/>
        <w:pageBreakBefore w:val="0"/>
        <w:widowControl w:val="0"/>
        <w:numPr>
          <w:ilvl w:val="0"/>
          <w:numId w:val="0"/>
        </w:numPr>
        <w:kinsoku/>
        <w:wordWrap/>
        <w:overflowPunct/>
        <w:topLinePunct w:val="0"/>
        <w:autoSpaceDE/>
        <w:autoSpaceDN/>
        <w:bidi w:val="0"/>
        <w:spacing w:beforeLines="30" w:line="576" w:lineRule="exact"/>
        <w:ind w:firstLine="640" w:firstLineChars="200"/>
        <w:jc w:val="both"/>
        <w:textAlignment w:val="auto"/>
        <w:rPr>
          <w:rFonts w:hint="eastAsia" w:ascii="仿宋_GB2312" w:hAnsi="Times New Roman" w:eastAsia="仿宋_GB2312" w:cs="Times New Roman"/>
          <w:kern w:val="0"/>
          <w:sz w:val="32"/>
          <w:szCs w:val="32"/>
          <w:shd w:val="clear" w:color="auto" w:fill="FFFFFF"/>
          <w:lang w:val="en-US" w:eastAsia="zh-CN" w:bidi="ar-SA"/>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附表：</w:t>
      </w:r>
      <w:r>
        <w:rPr>
          <w:rFonts w:hint="eastAsia" w:hAnsi="仿宋_GB2312" w:eastAsia="仿宋_GB2312" w:cs="仿宋_GB2312"/>
          <w:color w:val="auto"/>
          <w:sz w:val="32"/>
          <w:szCs w:val="32"/>
          <w:highlight w:val="none"/>
          <w:lang w:val="en-US" w:eastAsia="zh-CN"/>
        </w:rPr>
        <w:t>1.部门整体支出绩效目标自评表（2022年度）</w:t>
      </w:r>
    </w:p>
    <w:p>
      <w:pPr>
        <w:pStyle w:val="15"/>
        <w:keepNext w:val="0"/>
        <w:keepLines w:val="0"/>
        <w:pageBreakBefore w:val="0"/>
        <w:numPr>
          <w:ilvl w:val="0"/>
          <w:numId w:val="0"/>
        </w:numPr>
        <w:kinsoku/>
        <w:wordWrap/>
        <w:overflowPunct/>
        <w:topLinePunct w:val="0"/>
        <w:autoSpaceDE/>
        <w:autoSpaceDN/>
        <w:bidi w:val="0"/>
        <w:spacing w:line="560" w:lineRule="exact"/>
        <w:ind w:firstLine="960" w:firstLineChars="300"/>
        <w:textAlignment w:val="auto"/>
        <w:rPr>
          <w:rFonts w:hint="eastAsia" w:ascii="仿宋_GB2312" w:hAnsi="仿宋_GB2312" w:eastAsia="仿宋_GB2312" w:cs="仿宋_GB2312"/>
          <w:color w:val="auto"/>
          <w:sz w:val="32"/>
          <w:szCs w:val="32"/>
          <w:highlight w:val="none"/>
          <w:lang w:val="zh-CN" w:eastAsia="zh-CN"/>
        </w:rPr>
      </w:pPr>
      <w:r>
        <w:rPr>
          <w:rFonts w:hint="eastAsia"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部门</w:t>
      </w:r>
      <w:r>
        <w:rPr>
          <w:rFonts w:hint="eastAsia" w:hAnsi="仿宋_GB2312" w:eastAsia="仿宋_GB2312" w:cs="仿宋_GB2312"/>
          <w:color w:val="auto"/>
          <w:sz w:val="32"/>
          <w:szCs w:val="32"/>
          <w:highlight w:val="none"/>
          <w:lang w:val="en-US" w:eastAsia="zh-CN"/>
        </w:rPr>
        <w:t>专项</w:t>
      </w:r>
      <w:r>
        <w:rPr>
          <w:rFonts w:hint="eastAsia" w:ascii="仿宋_GB2312" w:hAnsi="仿宋_GB2312" w:eastAsia="仿宋_GB2312" w:cs="仿宋_GB2312"/>
          <w:color w:val="auto"/>
          <w:sz w:val="32"/>
          <w:szCs w:val="32"/>
          <w:highlight w:val="none"/>
          <w:lang w:val="en-US" w:eastAsia="zh-CN"/>
        </w:rPr>
        <w:t>预算项目支出绩效自评表（2022年度）</w:t>
      </w: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p>
    <w:p>
      <w:pPr>
        <w:rPr>
          <w:rFonts w:hint="eastAsia" w:hAnsi="Times New Roman" w:cs="Times New Roman"/>
          <w:color w:val="auto"/>
          <w:sz w:val="32"/>
          <w:szCs w:val="32"/>
          <w:highlight w:val="none"/>
          <w:lang w:val="zh-CN" w:eastAsia="zh-CN"/>
        </w:rPr>
      </w:pPr>
      <w:r>
        <w:rPr>
          <w:rFonts w:hint="eastAsia" w:hAnsi="Times New Roman" w:cs="Times New Roman"/>
          <w:color w:val="auto"/>
          <w:sz w:val="32"/>
          <w:szCs w:val="32"/>
          <w:highlight w:val="none"/>
          <w:lang w:val="zh-CN" w:eastAsia="zh-CN"/>
        </w:rPr>
        <w:br w:type="page"/>
      </w:r>
    </w:p>
    <w:p>
      <w:pPr>
        <w:rPr>
          <w:rFonts w:hint="eastAsia"/>
          <w:lang w:val="zh-CN" w:eastAsia="zh-CN"/>
        </w:rPr>
      </w:pP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691"/>
        <w:gridCol w:w="1200"/>
        <w:gridCol w:w="870"/>
        <w:gridCol w:w="588"/>
        <w:gridCol w:w="915"/>
        <w:gridCol w:w="1417"/>
        <w:gridCol w:w="1111"/>
        <w:gridCol w:w="776"/>
        <w:gridCol w:w="141"/>
        <w:gridCol w:w="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部门整体支出绩效目标自评表（2022年度）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94"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410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任务</w:t>
            </w:r>
          </w:p>
        </w:tc>
        <w:tc>
          <w:tcPr>
            <w:tcW w:w="381"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任务名称</w:t>
            </w:r>
          </w:p>
        </w:tc>
        <w:tc>
          <w:tcPr>
            <w:tcW w:w="114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主要内容</w:t>
            </w:r>
          </w:p>
        </w:tc>
        <w:tc>
          <w:tcPr>
            <w:tcW w:w="16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预算金额（万元）</w:t>
            </w:r>
          </w:p>
        </w:tc>
        <w:tc>
          <w:tcPr>
            <w:tcW w:w="135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实际执行（万元）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5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142"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基本工资、津贴补贴、奖金、绩效工资、机关事业单位养老保险缴费、职业年金缴费、基本医疗保险缴费、公务员医疗补助缴费、其他社会保险缴费、住房公积金、其他工资福利支出、离休费、生活补助、奖励金、其他对个人和家庭的补助支出等。</w:t>
            </w:r>
          </w:p>
        </w:tc>
        <w:tc>
          <w:tcPr>
            <w:tcW w:w="8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5148.13</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5069.27</w:t>
            </w:r>
          </w:p>
        </w:tc>
        <w:tc>
          <w:tcPr>
            <w:tcW w:w="5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5069.27</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1142"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包括：办公费、印刷费、 咨询费、手续费、水费、电费、邮电费、差旅费、维修（护）费、租赁费、会议费、培训费、公务接待费、劳务费、工会经费、福利费、公务用车运行维护费、其他交通费用、其他商品和服务支出、办公设备购置更新、其他资本性支出等。 </w:t>
            </w:r>
          </w:p>
        </w:tc>
        <w:tc>
          <w:tcPr>
            <w:tcW w:w="8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603.3</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573.42</w:t>
            </w:r>
          </w:p>
        </w:tc>
        <w:tc>
          <w:tcPr>
            <w:tcW w:w="5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573.42</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项目经费</w:t>
            </w:r>
          </w:p>
        </w:tc>
        <w:tc>
          <w:tcPr>
            <w:tcW w:w="1142"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包括：通用办公设备和办公家具采购经费、乡村振兴工作经费、其他组织事务支出、一般行政管理事务、劳动保障监察、社会保险业务管理事务、 信息化建设、劳动关系和维权、其他人力资源和社会保障管理事务支出、其他就业补助支出、社会保险经办机构、 综合业务管理、劳动人事争议调解仲裁、人事考试、就业管理事务、创业担保贷款贴息及奖补等方面的项目工作经费</w:t>
            </w:r>
          </w:p>
        </w:tc>
        <w:tc>
          <w:tcPr>
            <w:tcW w:w="8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1617.25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1617.25</w:t>
            </w:r>
          </w:p>
        </w:tc>
        <w:tc>
          <w:tcPr>
            <w:tcW w:w="5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1617.25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3"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w:t>
            </w:r>
          </w:p>
        </w:tc>
        <w:tc>
          <w:tcPr>
            <w:tcW w:w="8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7368.68</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7259.94</w:t>
            </w:r>
          </w:p>
        </w:tc>
        <w:tc>
          <w:tcPr>
            <w:tcW w:w="5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7259.94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13"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p>
        </w:tc>
        <w:tc>
          <w:tcPr>
            <w:tcW w:w="1523"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963"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0" w:hRule="atLeast"/>
        </w:trPr>
        <w:tc>
          <w:tcPr>
            <w:tcW w:w="51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目标一：全面实施县以下事业单位建立管理岗位职员等级晋升制度；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目标二：做好2022年营商环境“劳动力市场监管”指标评价工作；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目标三：推进基层服务平台标准化建设，落实先培训后上岗，持续提升基层经办能力；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目标四：开展第十四、十五批高层次人才引进工作，加快推进川陕甘结合部区域人才服务综合体项目建设；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目标五：加强职业技能培训，重点抓好“广元妹”家政服务品牌、曾家山旅游渡假区、昭化家居产业城等从业人员技能培训；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目标六：建成省级人力资源服务产业园，筹备建立川东北•川陕甘人力资源研究院；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目标七：开展社保基金管理提升年活动；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目标八：推进基层公共就业创业服务能力提升试点，加强农民工服务机构建设；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目标九：每季度召开返乡下乡创业企业困难问题会商会；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目标十：承办市人大代表视察全市返乡创业工作活动；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目标十一：失业保险基金专项整治；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目标十二：提升服务水平，承办市政协助力农民工就业增收专题协商会；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目标十三：承办廊桥返乡创业图片展；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目标十四：研究制定广元人社法治宣传教育第八个五年规划和法治建设实施方案、政策宣传方案，制定全市人社行政权力事项责任清单和权责指导清单；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目标十五：承办全省公务员参加工伤保险等政策研讨座谈会；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目标十六：学习宣传贯彻党的二十大和省第十二次党代会精神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目标十七：召开局领导班子民主生活会和2022年局领导班子“四责同述”工作会；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目标十八：召开局产业工会换届选举大会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目标十九：深入开展“温暖人社”建设，推进“川渝通办”“跨省通办”，积极推动融入成渝地区双城经济圈任务落地落实；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目标二十：做好根治拖欠农民工工资工作“国考”“省考”迎检及“市考”工作。</w:t>
            </w:r>
          </w:p>
        </w:tc>
        <w:tc>
          <w:tcPr>
            <w:tcW w:w="2963" w:type="pct"/>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年，我局深入贯彻党的二十大和习近平总书记来川视察重要指示精神，认真落实中央和省市部署要求，坚持拼字当头、产业为先、发展为要，深入全市人系统“六心行动”，高效统筹疫情防控和人社事业发展，各项重点工作扎实推进，成效明显根治欠薪、就业创业、乡村振兴人社帮扶等工作经验在全省交流6次。三级劳务平台建设、“帮帮摊”促就业等工作经验被人力资源社会保障部就业工作快报、央视等权威媒体报道。农民工工作连续第4年受到省委、省政府通报表扬，2021年度保障农民工工资支付工作考核再次排名全省A类市（州）第一名。2022年各项职能绩效目标高质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1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8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指标值（包含数字及文字描述）</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部门自评得分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财政部门科室复评得分</w:t>
            </w: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积极落实《广元市促进就业十条措施》等减负稳岗扩就业政策，城镇新增就业人数。</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3.35万人以上</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3.85万人</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城镇登记失业率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控制在4.0%以内</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城镇居民人均可支配收入</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增长7.5%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增长4.5%，与省平均水平持平，完成省下目标任务</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推动农村劳动力转移就业人数</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推动农村劳动力转移就业 95 万人</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96.53万人</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持续实施“返乡创业、回家发展”计划，全年回引返乡创业人数。</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3000 人以上</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3765人</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按季度召开返乡创业企业困难问题会商会。</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持续提升技能培训针对性和实效性，开展补贴性职业技能培训人次。</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3.2 万人次</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3.6万人</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创建省级人力资源服务产业园。</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培育规上服务业企业户数。</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2户</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3户</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争取到位资金 ，并完成向上对接年度目标任务。</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8351 万元</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8426.6万元</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目标任务完成情况</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完成各项目标任务，确保年终总体目标顺利完成，绩效目标得以实现</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高质量完成</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企业招聘用工服务。</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市、县两级国有人力资源公司和乡村两级劳务专业合作社运行管理。</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完成率100%</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水利、环境和公共设施管理业工资总额增长速度，公共管理、社会保障和社会组织工资总额增长速度年度目标任务。</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完成率100%</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农民工服务保障（含工资支付）省下目标任务。</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完成率100%</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高层次人才引进工作。</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认真做好</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引进第十四批高层次人才116名，柔性引进“周末工程师”32名。支持零八一电子集团有限公司博士后创新实践基地进站博士后1名，</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深入实施全民参保计划，完成企业职工基本养老保险、失业保险、工伤保险等省下目标任务</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完成率100%</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市养老、工伤、失业保险参保分别达188.73万、23.57万、17.67万人，企业职工基本养老保险在职参保33.5万人，完成目标任务的105.22%；全市企业职工基本养老保险费实现预算收入300526万元，完成预算收入目标269290万元的111.60%。</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年度各项工作任务按照时间节点完成</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12月31日前完成</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按时完成</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66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经济成本指标</w:t>
            </w: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5148.13</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5069.27</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603.3</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573.43</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一般行政管理事务项类目经费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341.65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341.65</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就业管理事务类项目经费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社会保险业务管理事务类项目经费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115.33</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115.33</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信息化建设类项目经费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466.22</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466.22</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社会保险经办机构类项目经费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142.15</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劳动关系和维权类项目经费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72.25</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劳动人事争议调解仲裁项目经费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44.15</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政府特殊津贴项目经费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50.76</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50.76</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其他人力资源和社会保障管理事务支出项目经费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156.91</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156.91</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其他就业补助支出项目经费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210.36</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210.36</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创业担保贷款贴息及奖补项目经费</w:t>
            </w: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15.46</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15.46</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6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推动人社事业高质量发展</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提升人民群众的安全感、幸福感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提升人民群众的安全感、幸福感</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实现劳务收入</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Style w:val="38"/>
                <w:lang w:val="en-US" w:eastAsia="zh-CN" w:bidi="ar"/>
              </w:rPr>
              <w:t>≧</w:t>
            </w:r>
            <w:r>
              <w:rPr>
                <w:rStyle w:val="39"/>
                <w:lang w:val="en-US" w:eastAsia="zh-CN" w:bidi="ar"/>
              </w:rPr>
              <w:t>290 亿元。</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≧308.4亿元。</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6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考核单位满意度指标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先进单位</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2022年度考核为先进单位</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部门（单位）自评结论</w:t>
            </w:r>
          </w:p>
        </w:tc>
        <w:tc>
          <w:tcPr>
            <w:tcW w:w="448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我局深入贯彻党的二十大和习近平总书记来川视察重要指示精神，认真落实中央和省市部署要求，坚持拼字当头、产业为先、发展为要，深入全市人系统“六心行动”，高效统筹疫情防控和人社事业发展，各项重点工作扎实推进，成效明显根治欠薪、就业创业、乡村振兴人社帮扶等工作经验在全省交流6次。三级劳务平台建设、“帮帮摊”促就业等工作经验被人力资源社会保障部就业工作快报、央视等权威媒体报道。农民工工作连续第4年受到省委、省政府通报表扬，2021年度保障农民工工资支付工作考核再次排名全省A类市（州）第一名。2022年各项职能绩效目标高质量完成。自评得分98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部门（单位）自评存在问题</w:t>
            </w:r>
          </w:p>
        </w:tc>
        <w:tc>
          <w:tcPr>
            <w:tcW w:w="448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一是2022年因疫情影响，我部门个别项目没有实施，导致当年预算执行情况不是很理想；二是在预算绩效目标编制时，因经办人员对各项指标的理解出现偏差，导致少部分项目绩效指标混用，自评增加难度。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部门（单位）自评改进措施</w:t>
            </w:r>
          </w:p>
        </w:tc>
        <w:tc>
          <w:tcPr>
            <w:tcW w:w="448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是总结经验教训，倒排工期，加快项目实施，增强资金使用绩效。二是加强对预算绩效管理政策、制度的宣讲和对各业务科室、单位经办人员的培训，增强预算绩效管理理论知识储备和实操技能，提升整体绩效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财政部门对口科室复评结论及整改要求</w:t>
            </w:r>
          </w:p>
        </w:tc>
        <w:tc>
          <w:tcPr>
            <w:tcW w:w="448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36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单位项目负责人：匡顺华</w:t>
            </w:r>
          </w:p>
        </w:tc>
        <w:tc>
          <w:tcPr>
            <w:tcW w:w="2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单位财务负责人：杨永红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36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部门项目负责人：匡顺华</w:t>
            </w:r>
          </w:p>
        </w:tc>
        <w:tc>
          <w:tcPr>
            <w:tcW w:w="2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部门财务负责人：严建国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财政部门科室负责人：邓毅</w:t>
            </w:r>
          </w:p>
        </w:tc>
      </w:tr>
    </w:tbl>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tbl>
      <w:tblPr>
        <w:tblStyle w:val="16"/>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960"/>
        <w:gridCol w:w="810"/>
        <w:gridCol w:w="780"/>
        <w:gridCol w:w="945"/>
        <w:gridCol w:w="765"/>
        <w:gridCol w:w="900"/>
        <w:gridCol w:w="900"/>
        <w:gridCol w:w="600"/>
        <w:gridCol w:w="6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96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51080021T000000051903-三支一扶管理工作经费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完成“三支一扶”在岗、续期人员培训任务。</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已完成“三支一扶”岗前培训、在岗培训300余人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省财政厅、人力资源社会保障厅《四川省高校毕业生“三支一扶”计划中央和省级财政补助资金管理办法》（川财社〔2022〕123号）其他“三支一扶”计划岗前和在岗人员培训，由省级财政按每人每年1500元的标准予以补助。组织培训的工作人员控制在参训人员数量的5%以内，资金由市财政预算下达，主要用于“三支一扶”新招募人员岗前培训、在岗人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81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610"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通过对“三支一扶”各项政策的宣传和对在岗志愿者的培训、慰问等工作，让更多的人了解“三支一扶”相关政策，吸引更多的高校毕业生加入“三支一扶”队伍；提升志愿者工作能力，调动志愿者工作热情，从而让志愿者更好地为基层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项目负责人：李佳</w:t>
            </w:r>
          </w:p>
        </w:tc>
        <w:tc>
          <w:tcPr>
            <w:tcW w:w="53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财务负责人：杨永红</w:t>
            </w:r>
          </w:p>
        </w:tc>
      </w:tr>
    </w:tbl>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tbl>
      <w:tblPr>
        <w:tblStyle w:val="16"/>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960"/>
        <w:gridCol w:w="810"/>
        <w:gridCol w:w="780"/>
        <w:gridCol w:w="945"/>
        <w:gridCol w:w="765"/>
        <w:gridCol w:w="900"/>
        <w:gridCol w:w="900"/>
        <w:gridCol w:w="600"/>
        <w:gridCol w:w="6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6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51080023T000008651216-事业单位人员培训经费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完成事业单位新进人员培训工作。</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已完成年度目标。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人力资源社会保障局负责统筹协调，市人才交流中心和广元开放大学负责具体组织实施和项目跟进等工作。从内容设计、班级管理、现场实践、食宿保障等方面进行严密细致准备，专门印发了《学员手册》《培训资料》等研修资料，建立了研修学员微信群，指定了班干部及小组长管理团队辅助配合班主任做好班级管理工作，深入培训地点进行服务质量、常规安全及疫情防控等专项检查，组织授课专家进行授课准备与交流等。各方协调配合和精细专业的准备工作，为培训取得实效提供了有力支撑和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8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3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此项目的实施，为进一步做好事业单位人员培训工作奠定了基础，弥补了事业单位新进人员知识储备不足，有助于学员找准自己的角色定位，在今后的工作中将发扬理论联系实际的学风，把学到的知识和本领，用到今后的具体工作中去，迎接新的挑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项目负责人：周炯</w:t>
            </w:r>
          </w:p>
        </w:tc>
        <w:tc>
          <w:tcPr>
            <w:tcW w:w="53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财务负责人：杨永红</w:t>
            </w:r>
          </w:p>
        </w:tc>
      </w:tr>
    </w:tbl>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p>
      <w:pPr>
        <w:rPr>
          <w:rFonts w:hint="eastAsia" w:hAnsi="宋体" w:cs="宋体"/>
          <w:color w:val="auto"/>
          <w:kern w:val="0"/>
          <w:sz w:val="32"/>
          <w:szCs w:val="32"/>
          <w:highlight w:val="none"/>
          <w:shd w:val="clear" w:color="auto" w:fill="FFFFFF"/>
          <w:lang w:val="zh-CN"/>
        </w:rPr>
      </w:pPr>
    </w:p>
    <w:tbl>
      <w:tblPr>
        <w:tblStyle w:val="16"/>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960"/>
        <w:gridCol w:w="810"/>
        <w:gridCol w:w="780"/>
        <w:gridCol w:w="945"/>
        <w:gridCol w:w="765"/>
        <w:gridCol w:w="900"/>
        <w:gridCol w:w="900"/>
        <w:gridCol w:w="600"/>
        <w:gridCol w:w="6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6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51080022T000005703208-广元市首批“蜀道英才工程”入选者岗位激励资金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深入贯彻落实习近平新时代人才工作重要论述及中央和省委、市委人才工作会议重要精神，根据市委组织部、市财政局等11部门《关于印发〈广元市“蜀道英才工程”实施办法〉的通知》（广组通〔2018〕87号）规定，对“蜀道英才工程”入选者在管理期内，给予每人每月500元岗位激励资金。</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已完成“蜀道英才工程”入选者岗位激励资金每人每月500元的发放。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市委组织部《关于拨付广元市首批“蜀道英才工程”入选者2022年度岗位激励资金的函》（广组函〔2022〕52号）要求，我局负责代发29名广元工匠岗位激励资金，共计18万元（含补发1人次，合计6000元）；16名广元创业领军人才2022年度岗位激励资金，共计9.6万元。共46人次，27.6万元。截至年底，全部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8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此项目的实施切实增强优秀人才的获得感、归属感和幸福感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项目负责人：赵文莉</w:t>
            </w:r>
          </w:p>
        </w:tc>
        <w:tc>
          <w:tcPr>
            <w:tcW w:w="53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财务负责人：杨永红</w:t>
            </w:r>
          </w:p>
        </w:tc>
      </w:tr>
    </w:tbl>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tbl>
      <w:tblPr>
        <w:tblStyle w:val="16"/>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960"/>
        <w:gridCol w:w="810"/>
        <w:gridCol w:w="780"/>
        <w:gridCol w:w="945"/>
        <w:gridCol w:w="765"/>
        <w:gridCol w:w="900"/>
        <w:gridCol w:w="900"/>
        <w:gridCol w:w="600"/>
        <w:gridCol w:w="6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6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51080022T000006844651-赴成都开展人才引进宣讲活动经费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完成年度人才引进计划</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完成人才引进113人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6"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深入贯彻落实中央人才工作会议精神、市第八次党代会精神和关于加大人才引进力度的指示要求。2021年12月，我市在成都理工大学组织开展了2021年度高层次人才引进宣讲活动，与成都理工大学、西南交通大学分别召开战略合作座谈会，签订了战略合作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24.44</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24.44</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此项目的实施，各类平台大力宣传广元市情及引才政策，我市尊重知识、重视人才的对外形象不断巩固，对高层次人才的吸引力不断增强，构成一个良性循环。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项目负责人：李云超</w:t>
            </w:r>
          </w:p>
        </w:tc>
        <w:tc>
          <w:tcPr>
            <w:tcW w:w="53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财务负责人：杨永红</w:t>
            </w:r>
          </w:p>
        </w:tc>
      </w:tr>
    </w:tbl>
    <w:p>
      <w:pPr>
        <w:rPr>
          <w:rFonts w:hint="eastAsia" w:hAnsi="宋体" w:cs="宋体"/>
          <w:color w:val="auto"/>
          <w:kern w:val="0"/>
          <w:sz w:val="32"/>
          <w:szCs w:val="32"/>
          <w:highlight w:val="none"/>
          <w:shd w:val="clear" w:color="auto" w:fill="FFFFFF"/>
          <w:lang w:val="zh-CN"/>
        </w:rPr>
      </w:pPr>
      <w:r>
        <w:rPr>
          <w:rFonts w:hint="eastAsia"/>
          <w:lang w:val="zh-CN"/>
        </w:rPr>
        <w:br w:type="page"/>
      </w:r>
    </w:p>
    <w:tbl>
      <w:tblPr>
        <w:tblStyle w:val="16"/>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139"/>
        <w:gridCol w:w="810"/>
        <w:gridCol w:w="780"/>
        <w:gridCol w:w="945"/>
        <w:gridCol w:w="765"/>
        <w:gridCol w:w="900"/>
        <w:gridCol w:w="900"/>
        <w:gridCol w:w="600"/>
        <w:gridCol w:w="6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51080023T000008651104-市政府专家津贴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加快培养造就一批国内、省内一流水平的学术和技术领军人才，引领和带动我市高层次专业技术人才队伍建设。</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已完成年度目标。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2022年，为省特殊贡献优秀专家、管理期内的省学术技术带头人、第七批市学术技术带头人共计71人按时、足额发放津贴50.76万元。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50.76</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50.76</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8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5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此项目的实施，确保将专家津贴按时足额发放到各位专家提供的账户，专家表示满意，体现了我市对人才的重视，助推引领和带动我市高层次专业技术人才队伍建设，有利于广元高质量发展。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5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5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项目负责人：李云超</w:t>
            </w:r>
          </w:p>
        </w:tc>
        <w:tc>
          <w:tcPr>
            <w:tcW w:w="53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财务负责人：杨永红</w:t>
            </w:r>
          </w:p>
        </w:tc>
      </w:tr>
    </w:tbl>
    <w:p>
      <w:pPr>
        <w:pStyle w:val="2"/>
        <w:rPr>
          <w:rFonts w:hint="eastAsia" w:hAnsi="宋体" w:cs="宋体"/>
          <w:color w:val="auto"/>
          <w:kern w:val="0"/>
          <w:sz w:val="32"/>
          <w:szCs w:val="32"/>
          <w:highlight w:val="none"/>
          <w:shd w:val="clear" w:color="auto" w:fill="FFFFFF"/>
          <w:lang w:val="zh-CN"/>
        </w:rPr>
      </w:pPr>
    </w:p>
    <w:tbl>
      <w:tblPr>
        <w:tblStyle w:val="16"/>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960"/>
        <w:gridCol w:w="810"/>
        <w:gridCol w:w="780"/>
        <w:gridCol w:w="945"/>
        <w:gridCol w:w="765"/>
        <w:gridCol w:w="900"/>
        <w:gridCol w:w="900"/>
        <w:gridCol w:w="600"/>
        <w:gridCol w:w="6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6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51080022T000007305702-第九届职业技能竞赛奖金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保障第九届职业技能竞赛暨第二届茶产业竞赛奖励资金全额发放到位</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已完成年度目标。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第九届职业技能竞赛暨第二届茶产业竞赛因疫情原因，延迟到2023年开展，已完成所有赛事，奖励金已全部发放到位。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41.85</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92.83%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41.85</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92.83%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此项目的实施，将会激励更所得青年人走技能成才之路，为社会和国家储备更多的技能人才。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项目负责人：赵文莉</w:t>
            </w:r>
          </w:p>
        </w:tc>
        <w:tc>
          <w:tcPr>
            <w:tcW w:w="53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财务负责人：杨永红</w:t>
            </w:r>
          </w:p>
        </w:tc>
      </w:tr>
    </w:tbl>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tbl>
      <w:tblPr>
        <w:tblStyle w:val="16"/>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960"/>
        <w:gridCol w:w="810"/>
        <w:gridCol w:w="780"/>
        <w:gridCol w:w="945"/>
        <w:gridCol w:w="765"/>
        <w:gridCol w:w="900"/>
        <w:gridCol w:w="900"/>
        <w:gridCol w:w="600"/>
        <w:gridCol w:w="6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51080022T000006844581-技能大师工作室补助资金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8"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建设市级技能大师工作室，整合高技能人才资源，在技术攻关创新和高技能人才培养方面，形成团队优势，实施重点攻关、重点突破；示范引领广元市高技能人才队伍建设。</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已完成年度目标。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2020年，我市启动了第四批市级技能大师工作室遴选工作。通过申报、推荐、实地考察、综合评议和公示等程序，确定广元市伏华林数控加工技能大师工作室、广元市都亮焊工技能大师工作室、广元市王霏茶艺技能大师工作室3家为第四批广元市技能大师工作室。2022年5月，市财政局向我局下达第四批技能大师工作室补助资金预算指标9万元。经局务会同意，拨付3家市级技能大师工作室建设补助资金共计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8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按时拨付技能大师工作室的建设补助资金，引领广元市高技能人才队伍建设。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8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项目负责人：赵文莉</w:t>
            </w:r>
          </w:p>
        </w:tc>
        <w:tc>
          <w:tcPr>
            <w:tcW w:w="53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财务负责人：杨永红</w:t>
            </w:r>
          </w:p>
        </w:tc>
      </w:tr>
    </w:tbl>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p>
      <w:pPr>
        <w:pStyle w:val="2"/>
        <w:outlineLvl w:val="1"/>
        <w:rPr>
          <w:rFonts w:hint="eastAsia" w:eastAsia="仿宋_GB2312"/>
          <w:color w:val="auto"/>
          <w:sz w:val="32"/>
          <w:szCs w:val="32"/>
          <w:highlight w:val="none"/>
          <w:lang w:val="en-US" w:eastAsia="zh-CN"/>
        </w:rPr>
      </w:pPr>
      <w:bookmarkStart w:id="122" w:name="_Toc13597"/>
      <w:bookmarkStart w:id="123" w:name="_Toc4543"/>
      <w:bookmarkStart w:id="124" w:name="_Toc29914"/>
      <w:bookmarkStart w:id="125" w:name="_Toc22589"/>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bookmarkEnd w:id="122"/>
      <w:bookmarkEnd w:id="123"/>
      <w:bookmarkEnd w:id="124"/>
      <w:bookmarkEnd w:id="125"/>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default"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2023年专项资金预算项目绩效自评报告一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仿宋_GB2312" w:hAnsi="仿宋_GB2312" w:eastAsia="仿宋_GB2312" w:cs="仿宋_GB2312"/>
          <w:b w:val="0"/>
          <w:bCs w:val="0"/>
          <w:color w:val="auto"/>
          <w:kern w:val="2"/>
          <w:sz w:val="32"/>
          <w:szCs w:val="32"/>
          <w:highlight w:val="none"/>
          <w:lang w:eastAsia="zh-CN"/>
        </w:rPr>
      </w:pPr>
      <w:r>
        <w:rPr>
          <w:rFonts w:hint="eastAsia" w:ascii="方正小标宋简体" w:hAnsi="方正小标宋简体" w:eastAsia="方正小标宋简体" w:cs="方正小标宋简体"/>
          <w:color w:val="auto"/>
          <w:kern w:val="2"/>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rPr>
        <w:t>高校毕业生</w:t>
      </w:r>
      <w:r>
        <w:rPr>
          <w:rFonts w:hint="eastAsia" w:ascii="仿宋_GB2312" w:hAnsi="仿宋_GB2312" w:eastAsia="仿宋_GB2312" w:cs="仿宋_GB2312"/>
          <w:b w:val="0"/>
          <w:bCs w:val="0"/>
          <w:color w:val="auto"/>
          <w:kern w:val="2"/>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rPr>
        <w:t>三支一扶</w:t>
      </w:r>
      <w:r>
        <w:rPr>
          <w:rFonts w:hint="eastAsia" w:ascii="仿宋_GB2312" w:hAnsi="仿宋_GB2312" w:eastAsia="仿宋_GB2312" w:cs="仿宋_GB2312"/>
          <w:b w:val="0"/>
          <w:bCs w:val="0"/>
          <w:color w:val="auto"/>
          <w:kern w:val="2"/>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rPr>
        <w:t>人员培训</w:t>
      </w:r>
      <w:r>
        <w:rPr>
          <w:rFonts w:hint="eastAsia" w:ascii="仿宋_GB2312" w:hAnsi="仿宋_GB2312" w:eastAsia="仿宋_GB2312" w:cs="仿宋_GB2312"/>
          <w:b w:val="0"/>
          <w:bCs w:val="0"/>
          <w:color w:val="auto"/>
          <w:kern w:val="2"/>
          <w:sz w:val="32"/>
          <w:szCs w:val="32"/>
          <w:highlight w:val="none"/>
          <w:lang w:eastAsia="zh-CN"/>
        </w:rPr>
        <w:t>经费）</w:t>
      </w:r>
    </w:p>
    <w:p>
      <w:pPr>
        <w:pStyle w:val="35"/>
        <w:keepNext w:val="0"/>
        <w:keepLines w:val="0"/>
        <w:pageBreakBefore w:val="0"/>
        <w:widowControl w:val="0"/>
        <w:kinsoku/>
        <w:wordWrap/>
        <w:overflowPunct/>
        <w:topLinePunct w:val="0"/>
        <w:autoSpaceDE/>
        <w:autoSpaceDN/>
        <w:bidi w:val="0"/>
        <w:spacing w:line="560" w:lineRule="exact"/>
        <w:jc w:val="center"/>
        <w:textAlignment w:val="auto"/>
        <w:rPr>
          <w:rFonts w:hint="default" w:ascii="仿宋_GB2312" w:hAnsi="仿宋_GB2312" w:eastAsia="仿宋_GB2312" w:cs="仿宋_GB2312"/>
          <w:b w:val="0"/>
          <w:bCs w:val="0"/>
          <w:color w:val="auto"/>
          <w:kern w:val="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1"/>
        <w:rPr>
          <w:rFonts w:ascii="黑体" w:hAnsi="宋体" w:eastAsia="黑体"/>
          <w:b w:val="0"/>
          <w:bCs w:val="0"/>
          <w:sz w:val="32"/>
          <w:szCs w:val="32"/>
          <w:highlight w:val="none"/>
          <w:lang w:val="zh-CN"/>
        </w:rPr>
      </w:pPr>
      <w:bookmarkStart w:id="126" w:name="_Toc11013"/>
      <w:bookmarkStart w:id="127" w:name="_Toc6612"/>
      <w:bookmarkStart w:id="128" w:name="_Toc12741"/>
      <w:bookmarkStart w:id="129" w:name="_Toc32690"/>
      <w:r>
        <w:rPr>
          <w:rFonts w:hint="eastAsia" w:ascii="黑体" w:hAnsi="宋体" w:eastAsia="黑体"/>
          <w:b w:val="0"/>
          <w:bCs w:val="0"/>
          <w:sz w:val="32"/>
          <w:szCs w:val="32"/>
          <w:highlight w:val="none"/>
        </w:rPr>
        <w:t>一、</w:t>
      </w:r>
      <w:r>
        <w:rPr>
          <w:rFonts w:hint="eastAsia" w:ascii="黑体" w:hAnsi="宋体" w:eastAsia="黑体"/>
          <w:b w:val="0"/>
          <w:bCs w:val="0"/>
          <w:sz w:val="32"/>
          <w:szCs w:val="32"/>
          <w:highlight w:val="none"/>
          <w:lang w:val="zh-CN"/>
        </w:rPr>
        <w:t>项目概况</w:t>
      </w:r>
      <w:bookmarkEnd w:id="126"/>
      <w:bookmarkEnd w:id="127"/>
      <w:bookmarkEnd w:id="128"/>
      <w:bookmarkEnd w:id="12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rPr>
      </w:pPr>
      <w:r>
        <w:rPr>
          <w:rFonts w:hint="eastAsia" w:ascii="仿宋_GB2312" w:hAnsi="仿宋_GB2312" w:eastAsia="仿宋_GB2312" w:cs="仿宋_GB2312"/>
          <w:color w:val="auto"/>
          <w:sz w:val="32"/>
          <w:szCs w:val="32"/>
        </w:rPr>
        <w:t>我局</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组织实施高校毕业生面向基层服务项目和计划工作，</w:t>
      </w:r>
      <w:r>
        <w:rPr>
          <w:rFonts w:hint="eastAsia" w:ascii="仿宋_GB2312" w:hAnsi="仿宋_GB2312" w:eastAsia="仿宋_GB2312" w:cs="仿宋_GB2312"/>
          <w:color w:val="auto"/>
          <w:sz w:val="32"/>
          <w:szCs w:val="32"/>
        </w:rPr>
        <w:t>承担全市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三支一扶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计划招募和管理协调工作。负责组织实施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三支一扶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新招募上岗人员岗前培训和在岗人员培训。</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w:t>
      </w:r>
      <w:r>
        <w:rPr>
          <w:rFonts w:hint="eastAsia" w:ascii="仿宋_GB2312" w:hAnsi="仿宋_GB2312" w:eastAsia="仿宋_GB2312" w:cs="仿宋_GB2312"/>
          <w:sz w:val="32"/>
          <w:szCs w:val="32"/>
        </w:rPr>
        <w:t>省委组织部、省人力资源社会保障厅等10部门《关于实施第四轮高校毕业生“三支一扶”计划的通知》（川人社发〔2021〕19号）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省财政厅、人力资源社会保障厅《四川省高校毕业生“三支一扶”计划中央和省级财政补助资金管理办法》（川财社</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号</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文件精神，其他“三支一扶”计划岗前和在岗人员培训，由省级财政按每人每年1500元的标准予以补助。组织培训的工作人员控制在参训人员数量的5%以内，资金由市财政预算下达，主要用于“三支一扶”新招募人员岗前培训、在岗人员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我市根据当年高校毕业生“三支一扶”招募计划及当年在岗人数测算，2022年计划新招募培训117人，在岗培训181人（其中在岗培训拟于2023年上半年开展），按照每人每年1500元的标准安排资金使用。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开展高校毕业生“三支一扶”人员岗前培训、在岗培训298人次，</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培训合格率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为100%。根据工作实际在2年内分批次</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完成</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培训任务。培训目的为</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提高“</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三支一扶</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”人员稳定率，增强“三支一扶”人员综合素质</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和</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用人单位满意度、群众满意度。</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此</w:t>
      </w:r>
      <w:r>
        <w:rPr>
          <w:rFonts w:hint="eastAsia" w:ascii="仿宋_GB2312" w:hAnsi="仿宋_GB2312" w:eastAsia="仿宋_GB2312" w:cs="仿宋_GB2312"/>
          <w:color w:val="auto"/>
          <w:sz w:val="32"/>
          <w:szCs w:val="32"/>
        </w:rPr>
        <w:t>项目资金</w:t>
      </w:r>
      <w:r>
        <w:rPr>
          <w:rFonts w:hint="eastAsia" w:ascii="仿宋_GB2312" w:hAnsi="仿宋_GB2312" w:eastAsia="仿宋_GB2312" w:cs="仿宋_GB2312"/>
          <w:color w:val="auto"/>
          <w:sz w:val="32"/>
          <w:szCs w:val="32"/>
          <w:lang w:val="en-US" w:eastAsia="zh-CN"/>
        </w:rPr>
        <w:t>下达使用范围</w:t>
      </w:r>
      <w:r>
        <w:rPr>
          <w:rFonts w:hint="eastAsia" w:ascii="仿宋_GB2312" w:hAnsi="仿宋_GB2312" w:eastAsia="仿宋_GB2312" w:cs="仿宋_GB2312"/>
          <w:color w:val="auto"/>
          <w:sz w:val="32"/>
          <w:szCs w:val="32"/>
        </w:rPr>
        <w:t>与我单位开展</w:t>
      </w:r>
      <w:r>
        <w:rPr>
          <w:rFonts w:hint="eastAsia" w:ascii="仿宋_GB2312" w:hAnsi="仿宋_GB2312" w:eastAsia="仿宋_GB2312" w:cs="仿宋_GB2312"/>
          <w:color w:val="auto"/>
          <w:sz w:val="32"/>
          <w:szCs w:val="32"/>
          <w:lang w:val="en-US" w:eastAsia="zh-CN"/>
        </w:rPr>
        <w:t>的高校毕业“三支一扶”人员岗前培训、在岗人员培训</w:t>
      </w:r>
      <w:r>
        <w:rPr>
          <w:rFonts w:hint="eastAsia" w:ascii="仿宋_GB2312" w:hAnsi="仿宋_GB2312" w:eastAsia="仿宋_GB2312" w:cs="仿宋_GB2312"/>
          <w:color w:val="auto"/>
          <w:sz w:val="32"/>
          <w:szCs w:val="32"/>
        </w:rPr>
        <w:t>内容完全相符、申报目标经测算合理可行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一是加强统筹，</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成立</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以</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人力资源流动科科室负责人</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为组长，科室其余人员为成员的自评工作组。二是组织实施，通过查阅资料、审核票据，看有无虚列支出、票据不规范的情况。三是考评结果，通过自评，得出考评分值，并查找问题，分析原因，提出</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下一步工作</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整改意见。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130" w:name="_Toc5186"/>
      <w:bookmarkStart w:id="131" w:name="_Toc22662"/>
      <w:bookmarkStart w:id="132" w:name="_Toc25339"/>
      <w:bookmarkStart w:id="133" w:name="_Toc10872"/>
      <w:r>
        <w:rPr>
          <w:rFonts w:hint="eastAsia" w:ascii="黑体" w:hAnsi="宋体" w:eastAsia="黑体"/>
          <w:b w:val="0"/>
          <w:bCs w:val="0"/>
          <w:color w:val="auto"/>
          <w:sz w:val="32"/>
          <w:szCs w:val="32"/>
          <w:highlight w:val="none"/>
          <w:u w:val="none"/>
        </w:rPr>
        <w:t>二、项目资金申报及使用情况</w:t>
      </w:r>
      <w:bookmarkEnd w:id="130"/>
      <w:bookmarkEnd w:id="131"/>
      <w:bookmarkEnd w:id="132"/>
      <w:bookmarkEnd w:id="13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申报项目资金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45.3万元，批复45.3万元，未调整预算。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仿宋_GB2312" w:hAnsi="宋体"/>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1．资金计划。</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该项目资金为高校毕业生“三支一扶”计划补助资金，属于省级财政资金。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2．资金到位。</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截至目前资金下达45.30万元，下达率为100%。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3．资金使用。</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截至评价日已使用45.30万元。资金使用严格准守有关规定，安全、规范，在</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支付范围、支付标准、支付进度、支付依据等</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完全</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合规合法、与预算相符。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建</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有</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健全的内部控制制度，内部控制管理运行有效。</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项目资金按照统一的</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财务管理制度</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进行管理</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，设</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有</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项目管理机构，会计核算及账务处理</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准确、规范</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、专款专用。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134" w:name="_Toc24086"/>
      <w:bookmarkStart w:id="135" w:name="_Toc17073"/>
      <w:bookmarkStart w:id="136" w:name="_Toc6637"/>
      <w:bookmarkStart w:id="137" w:name="_Toc15684"/>
      <w:r>
        <w:rPr>
          <w:rFonts w:hint="eastAsia" w:ascii="黑体" w:hAnsi="宋体" w:eastAsia="黑体"/>
          <w:b w:val="0"/>
          <w:bCs w:val="0"/>
          <w:color w:val="auto"/>
          <w:sz w:val="32"/>
          <w:szCs w:val="32"/>
          <w:highlight w:val="none"/>
          <w:u w:val="none"/>
        </w:rPr>
        <w:t>三、项目实施及管理情况</w:t>
      </w:r>
      <w:bookmarkEnd w:id="134"/>
      <w:bookmarkEnd w:id="135"/>
      <w:bookmarkEnd w:id="136"/>
      <w:bookmarkEnd w:id="13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（一）项目组织架构及实施流程。</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该项目由局人力资源流动管理科牵头负责，由局人力资源培训中心负责具体实施。局人力资源培训中心起草培训方案，由局党组通过培训实施方案后，通知参训人员参加培训。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（二）项目管理情况。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w:t>
      </w:r>
      <w:r>
        <w:rPr>
          <w:rFonts w:hint="eastAsia" w:ascii="仿宋_GB2312" w:hAnsi="仿宋_GB2312" w:eastAsia="仿宋_GB2312" w:cs="仿宋_GB2312"/>
          <w:sz w:val="32"/>
          <w:szCs w:val="32"/>
        </w:rPr>
        <w:t>《关于实施第四轮高校毕业生“三支一扶”计划的通知》（川人社发〔2021〕19号）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《四川省高校毕业生“三支一扶”计划中央和省级财政补助资金管理办法》（川财社</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号</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）等相关文件要求，严格规范落实项目过程管理。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楷体_GB2312" w:hAnsi="宋体" w:eastAsia="楷体_GB2312"/>
          <w:b w:val="0"/>
          <w:bCs w:val="0"/>
          <w:color w:val="auto"/>
          <w:sz w:val="32"/>
          <w:szCs w:val="32"/>
          <w:highlight w:val="none"/>
          <w:u w:val="none"/>
          <w:lang w:val="zh-CN"/>
        </w:rPr>
        <w:t>（三）项目监管情况。</w:t>
      </w:r>
      <w:r>
        <w:rPr>
          <w:rFonts w:hint="eastAsia" w:ascii="仿宋_GB2312" w:hAnsi="仿宋_GB2312" w:eastAsia="仿宋_GB2312" w:cs="仿宋_GB2312"/>
          <w:b w:val="0"/>
          <w:bCs w:val="0"/>
          <w:color w:val="auto"/>
          <w:sz w:val="32"/>
          <w:szCs w:val="32"/>
          <w:highlight w:val="none"/>
          <w:u w:val="none"/>
          <w:lang w:val="en-US" w:eastAsia="zh-CN"/>
        </w:rPr>
        <w:t>项目实施全过程由专人进行监督，资金拨付</w:t>
      </w:r>
      <w:r>
        <w:rPr>
          <w:rFonts w:hint="eastAsia" w:ascii="仿宋_GB2312" w:hAnsi="仿宋_GB2312" w:eastAsia="仿宋_GB2312" w:cs="仿宋_GB2312"/>
          <w:color w:val="auto"/>
          <w:sz w:val="32"/>
          <w:szCs w:val="32"/>
          <w:lang w:val="zh-CN"/>
        </w:rPr>
        <w:t>严格财务报销制度，科室内部定期对发生的票据进行内部审计，确保资金使用安全、规范、有效。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1"/>
        <w:rPr>
          <w:rFonts w:ascii="仿宋_GB2312" w:hAnsi="宋体"/>
          <w:b w:val="0"/>
          <w:bCs w:val="0"/>
          <w:color w:val="auto"/>
          <w:sz w:val="32"/>
          <w:szCs w:val="32"/>
          <w:highlight w:val="none"/>
          <w:u w:val="none"/>
          <w:lang w:val="zh-CN"/>
        </w:rPr>
      </w:pPr>
      <w:bookmarkStart w:id="138" w:name="_Toc28540"/>
      <w:bookmarkStart w:id="139" w:name="_Toc31932"/>
      <w:bookmarkStart w:id="140" w:name="_Toc17047"/>
      <w:bookmarkStart w:id="141" w:name="_Toc5112"/>
      <w:r>
        <w:rPr>
          <w:rFonts w:hint="eastAsia" w:ascii="黑体" w:hAnsi="宋体" w:eastAsia="黑体"/>
          <w:b w:val="0"/>
          <w:bCs w:val="0"/>
          <w:color w:val="auto"/>
          <w:sz w:val="32"/>
          <w:szCs w:val="32"/>
          <w:highlight w:val="none"/>
          <w:u w:val="none"/>
        </w:rPr>
        <w:t>四、项目绩效情况</w:t>
      </w:r>
      <w:bookmarkEnd w:id="138"/>
      <w:bookmarkEnd w:id="139"/>
      <w:bookmarkEnd w:id="140"/>
      <w:bookmarkEnd w:id="141"/>
      <w:r>
        <w:rPr>
          <w:rFonts w:hint="eastAsia" w:ascii="仿宋_GB2312" w:hAnsi="宋体"/>
          <w:b w:val="0"/>
          <w:bCs w:val="0"/>
          <w:color w:val="auto"/>
          <w:sz w:val="32"/>
          <w:szCs w:val="32"/>
          <w:highlight w:val="none"/>
          <w:u w:val="none"/>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全年完成全市2022年“三支一扶”新招募志愿者岗前培训和在岗培训300余人，培训合格率100%。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培训实行全封闭式管理，教学内容主要包括以开展学习贯彻习近平新时代中国特色社会主义思想、习近平总书记来川视察重要指示和省第十二次党代会精神的党性教育，结合“三支一扶”工作岗位的法纪教育，结合基层工作基本技能需求的公文写作与处理、突发事件预防与应急处置的专题讲座，结合全市经济社会发展情况对乡村振兴战略及乡村振兴促进法进行系统学习，以便新招募志愿者及时转变角色、尽快适应新的工作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142" w:name="_Toc11943"/>
      <w:bookmarkStart w:id="143" w:name="_Toc31069"/>
      <w:bookmarkStart w:id="144" w:name="_Toc6255"/>
      <w:bookmarkStart w:id="145" w:name="_Toc13398"/>
      <w:r>
        <w:rPr>
          <w:rFonts w:hint="eastAsia" w:ascii="黑体" w:hAnsi="宋体" w:eastAsia="黑体"/>
          <w:b w:val="0"/>
          <w:bCs w:val="0"/>
          <w:color w:val="auto"/>
          <w:sz w:val="32"/>
          <w:szCs w:val="32"/>
          <w:highlight w:val="none"/>
          <w:u w:val="none"/>
        </w:rPr>
        <w:t>五、评价结论及建议</w:t>
      </w:r>
      <w:bookmarkEnd w:id="142"/>
      <w:bookmarkEnd w:id="143"/>
      <w:bookmarkEnd w:id="144"/>
      <w:bookmarkEnd w:id="14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本项目旨在为高校毕业生“三支一扶”计划实施提供培训保障，引导鼓励高校毕业生到基层建功立业，提高基层人才队伍素质，提高服务基层人才队伍稳定性。在实施过程中，我单位较好的完成了各项指标。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596" w:firstLineChars="200"/>
        <w:jc w:val="both"/>
        <w:textAlignment w:val="auto"/>
        <w:rPr>
          <w:rFonts w:hint="default" w:ascii="仿宋_GB2312" w:hAnsi="仿宋_GB2312" w:eastAsia="仿宋_GB2312" w:cs="仿宋_GB2312"/>
          <w:b w:val="0"/>
          <w:bCs w:val="0"/>
          <w:color w:val="auto"/>
          <w:spacing w:val="-11"/>
          <w:sz w:val="32"/>
          <w:szCs w:val="32"/>
          <w:highlight w:val="none"/>
          <w:u w:val="none"/>
          <w:lang w:val="en-US" w:eastAsia="zh-CN"/>
        </w:rPr>
      </w:pPr>
      <w:r>
        <w:rPr>
          <w:rFonts w:hint="eastAsia" w:ascii="仿宋_GB2312" w:hAnsi="仿宋_GB2312" w:eastAsia="仿宋_GB2312" w:cs="仿宋_GB2312"/>
          <w:b w:val="0"/>
          <w:bCs w:val="0"/>
          <w:color w:val="auto"/>
          <w:spacing w:val="-11"/>
          <w:sz w:val="32"/>
          <w:szCs w:val="32"/>
          <w:highlight w:val="none"/>
          <w:u w:val="none"/>
          <w:lang w:val="en-US" w:eastAsia="zh-CN"/>
        </w:rPr>
        <w:t>按照年度工作计划，本项目资金存在时间差，每年培训资金下达资金按照下达时人数拨付资金，岗前培训在资金拨付前开展，但在岗人员培训一般在次年开展，在这个过程会出现人员自然流失现象。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小标宋简体" w:hAnsi="方正小标宋简体" w:eastAsia="方正小标宋简体" w:cs="方正小标宋简体"/>
          <w:color w:val="auto"/>
          <w:kern w:val="2"/>
          <w:sz w:val="32"/>
          <w:szCs w:val="32"/>
          <w:highlight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建议从本年度起，“三支一扶”项目培训资金拨付方式统一调整为事后拨付，即培训组织是时候，按照实际培训人数和规定标准及时向承办单位据实拨付。</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default"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2023年专项资金预算项目绩效自评报告二</w:t>
      </w:r>
    </w:p>
    <w:p>
      <w:pPr>
        <w:pStyle w:val="35"/>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r>
        <w:rPr>
          <w:rFonts w:hint="eastAsia" w:ascii="方正小标宋简体" w:hAnsi="方正小标宋简体" w:eastAsia="方正小标宋简体" w:cs="方正小标宋简体"/>
          <w:color w:val="auto"/>
          <w:kern w:val="2"/>
          <w:sz w:val="32"/>
          <w:szCs w:val="32"/>
          <w:highlight w:val="none"/>
          <w:lang w:val="en-US" w:eastAsia="zh-CN"/>
        </w:rPr>
        <w:t>（</w:t>
      </w:r>
      <w:r>
        <w:rPr>
          <w:rFonts w:hint="eastAsia" w:ascii="仿宋_GB2312" w:hAnsi="宋体" w:eastAsia="仿宋_GB2312"/>
          <w:sz w:val="32"/>
          <w:szCs w:val="32"/>
        </w:rPr>
        <w:t>事业单位</w:t>
      </w:r>
      <w:r>
        <w:rPr>
          <w:rFonts w:hint="eastAsia" w:ascii="仿宋_GB2312" w:hAnsi="宋体" w:eastAsia="仿宋_GB2312"/>
          <w:sz w:val="32"/>
          <w:szCs w:val="32"/>
          <w:lang w:val="en-US" w:eastAsia="zh-CN"/>
        </w:rPr>
        <w:t>人员培训工作经费</w:t>
      </w:r>
      <w:r>
        <w:rPr>
          <w:rFonts w:hint="eastAsia" w:ascii="仿宋_GB2312" w:hAnsi="仿宋_GB2312" w:eastAsia="仿宋_GB2312" w:cs="仿宋_GB2312"/>
          <w:b w:val="0"/>
          <w:bCs w:val="0"/>
          <w:color w:val="auto"/>
          <w:kern w:val="2"/>
          <w:sz w:val="32"/>
          <w:szCs w:val="32"/>
          <w:highlight w:val="none"/>
          <w:lang w:eastAsia="zh-CN"/>
        </w:rPr>
        <w:t>）</w:t>
      </w:r>
    </w:p>
    <w:bookmarkEnd w:id="99"/>
    <w:p>
      <w:pPr>
        <w:spacing w:line="576" w:lineRule="exact"/>
        <w:ind w:firstLine="643" w:firstLineChars="200"/>
        <w:outlineLvl w:val="1"/>
        <w:rPr>
          <w:rFonts w:ascii="黑体" w:eastAsia="黑体"/>
          <w:b/>
          <w:sz w:val="32"/>
          <w:szCs w:val="32"/>
        </w:rPr>
      </w:pPr>
      <w:bookmarkStart w:id="146" w:name="_Toc32307"/>
      <w:bookmarkStart w:id="147" w:name="_Toc18971"/>
      <w:bookmarkStart w:id="148" w:name="_Toc31507"/>
      <w:bookmarkStart w:id="149" w:name="_Toc18578"/>
      <w:bookmarkStart w:id="150" w:name="_Toc15396620"/>
      <w:r>
        <w:rPr>
          <w:rFonts w:hint="eastAsia" w:ascii="黑体" w:eastAsia="黑体"/>
          <w:b/>
          <w:sz w:val="32"/>
          <w:szCs w:val="32"/>
        </w:rPr>
        <w:t>一、项目概况</w:t>
      </w:r>
      <w:bookmarkEnd w:id="146"/>
      <w:bookmarkEnd w:id="147"/>
      <w:bookmarkEnd w:id="148"/>
      <w:bookmarkEnd w:id="149"/>
    </w:p>
    <w:p>
      <w:p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（一）项目基本情况。</w:t>
      </w:r>
    </w:p>
    <w:p>
      <w:pPr>
        <w:spacing w:line="576"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为加强我市事业单位队伍建设，提高事业单位新进工作人员素质，</w:t>
      </w:r>
      <w:r>
        <w:rPr>
          <w:rFonts w:hint="eastAsia" w:ascii="仿宋_GB2312" w:hAnsi="宋体" w:eastAsia="仿宋_GB2312"/>
          <w:sz w:val="32"/>
          <w:szCs w:val="32"/>
          <w:lang w:eastAsia="zh-CN"/>
        </w:rPr>
        <w:t>对</w:t>
      </w:r>
      <w:r>
        <w:rPr>
          <w:rFonts w:hint="eastAsia" w:ascii="仿宋_GB2312" w:hAnsi="宋体" w:eastAsia="仿宋_GB2312"/>
          <w:sz w:val="32"/>
          <w:szCs w:val="32"/>
        </w:rPr>
        <w:t>2019年以来</w:t>
      </w:r>
      <w:r>
        <w:rPr>
          <w:rFonts w:hint="eastAsia" w:ascii="仿宋_GB2312" w:hAnsi="宋体" w:eastAsia="仿宋_GB2312"/>
          <w:sz w:val="32"/>
          <w:szCs w:val="32"/>
          <w:lang w:eastAsia="zh-CN"/>
        </w:rPr>
        <w:t>的</w:t>
      </w:r>
      <w:r>
        <w:rPr>
          <w:rFonts w:hint="eastAsia" w:ascii="仿宋_GB2312" w:hAnsi="宋体" w:eastAsia="仿宋_GB2312"/>
          <w:sz w:val="32"/>
          <w:szCs w:val="32"/>
        </w:rPr>
        <w:t>市直属事业单位新招聘的工作人员</w:t>
      </w:r>
      <w:r>
        <w:rPr>
          <w:rFonts w:hint="eastAsia" w:ascii="仿宋_GB2312" w:hAnsi="宋体" w:eastAsia="仿宋_GB2312"/>
          <w:sz w:val="32"/>
          <w:szCs w:val="32"/>
          <w:lang w:eastAsia="zh-CN"/>
        </w:rPr>
        <w:t>进行专项培训</w:t>
      </w:r>
      <w:r>
        <w:rPr>
          <w:rFonts w:hint="eastAsia" w:ascii="仿宋_GB2312" w:hAnsi="宋体" w:eastAsia="仿宋_GB2312"/>
          <w:sz w:val="32"/>
          <w:szCs w:val="32"/>
        </w:rPr>
        <w:t>，</w:t>
      </w:r>
      <w:r>
        <w:rPr>
          <w:rFonts w:hint="eastAsia" w:ascii="仿宋_GB2312" w:hAnsi="宋体" w:eastAsia="仿宋_GB2312"/>
          <w:sz w:val="32"/>
          <w:szCs w:val="32"/>
          <w:lang w:val="en-US" w:eastAsia="zh-CN"/>
        </w:rPr>
        <w:t>培训内容为党的理论教育、党性党史教育以及国情、省情、市情教育，学习人力资源社会保障政策和公文写作与处理、事业单位工作人员政务礼仪等知识</w:t>
      </w:r>
      <w:r>
        <w:rPr>
          <w:rFonts w:hint="eastAsia" w:ascii="仿宋_GB2312" w:hAnsi="宋体" w:eastAsia="仿宋_GB2312"/>
          <w:sz w:val="32"/>
          <w:szCs w:val="32"/>
        </w:rPr>
        <w:t>。</w:t>
      </w:r>
    </w:p>
    <w:p>
      <w:p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（二）项目绩效目标。</w:t>
      </w:r>
    </w:p>
    <w:p>
      <w:pPr>
        <w:spacing w:line="576"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进一步</w:t>
      </w:r>
      <w:r>
        <w:rPr>
          <w:rFonts w:hint="eastAsia" w:ascii="仿宋_GB2312" w:hAnsi="宋体" w:eastAsia="仿宋_GB2312"/>
          <w:sz w:val="32"/>
          <w:szCs w:val="32"/>
        </w:rPr>
        <w:t>提高事业单位新进工作人员工作能力，熟悉和掌握履新岗位职责所需的知识与技能，持续强化事业单位工作人员队伍建设，全面提升事业单位工作人员能力素养</w:t>
      </w:r>
      <w:r>
        <w:rPr>
          <w:rFonts w:hint="eastAsia" w:ascii="仿宋_GB2312" w:hAnsi="宋体" w:eastAsia="仿宋_GB2312"/>
          <w:sz w:val="32"/>
          <w:szCs w:val="32"/>
          <w:lang w:val="en-US" w:eastAsia="zh-CN"/>
        </w:rPr>
        <w:t>。</w:t>
      </w:r>
    </w:p>
    <w:p>
      <w:pPr>
        <w:spacing w:line="576" w:lineRule="exact"/>
        <w:ind w:firstLine="643" w:firstLineChars="200"/>
        <w:outlineLvl w:val="2"/>
        <w:rPr>
          <w:rFonts w:ascii="楷体_GB2312" w:eastAsia="楷体_GB2312"/>
          <w:b/>
          <w:sz w:val="32"/>
          <w:szCs w:val="32"/>
        </w:rPr>
      </w:pPr>
      <w:r>
        <w:rPr>
          <w:rFonts w:hint="eastAsia" w:ascii="楷体_GB2312" w:eastAsia="楷体_GB2312"/>
          <w:b/>
          <w:sz w:val="32"/>
          <w:szCs w:val="32"/>
        </w:rPr>
        <w:t>（三）资金申报相符性。</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项目资金的内容与我单位开展</w:t>
      </w:r>
      <w:r>
        <w:rPr>
          <w:rFonts w:hint="eastAsia" w:ascii="仿宋_GB2312" w:hAnsi="Calibri" w:eastAsia="仿宋_GB2312"/>
          <w:sz w:val="32"/>
          <w:szCs w:val="32"/>
        </w:rPr>
        <w:t>市直事业单位</w:t>
      </w:r>
      <w:r>
        <w:rPr>
          <w:rFonts w:hint="eastAsia" w:ascii="仿宋_GB2312" w:hAnsi="Calibri" w:eastAsia="仿宋_GB2312"/>
          <w:sz w:val="32"/>
          <w:szCs w:val="32"/>
          <w:lang w:eastAsia="zh-CN"/>
        </w:rPr>
        <w:t>新进</w:t>
      </w:r>
      <w:r>
        <w:rPr>
          <w:rFonts w:hint="eastAsia" w:ascii="仿宋_GB2312" w:hAnsi="Calibri" w:eastAsia="仿宋_GB2312"/>
          <w:sz w:val="32"/>
          <w:szCs w:val="32"/>
        </w:rPr>
        <w:t>人员</w:t>
      </w:r>
      <w:r>
        <w:rPr>
          <w:rFonts w:hint="eastAsia" w:ascii="仿宋_GB2312" w:hAnsi="Calibri" w:eastAsia="仿宋_GB2312"/>
          <w:sz w:val="32"/>
          <w:szCs w:val="32"/>
          <w:lang w:eastAsia="zh-CN"/>
        </w:rPr>
        <w:t>培训</w:t>
      </w:r>
      <w:r>
        <w:rPr>
          <w:rFonts w:hint="eastAsia" w:ascii="仿宋_GB2312" w:eastAsia="仿宋_GB2312"/>
          <w:sz w:val="32"/>
          <w:szCs w:val="32"/>
        </w:rPr>
        <w:t>内容完全相符、申报目标经测算是合理可行的。</w:t>
      </w:r>
    </w:p>
    <w:p>
      <w:pPr>
        <w:spacing w:line="576" w:lineRule="exact"/>
        <w:ind w:firstLine="643" w:firstLineChars="200"/>
        <w:outlineLvl w:val="1"/>
        <w:rPr>
          <w:rFonts w:hint="eastAsia" w:ascii="黑体" w:eastAsia="黑体"/>
          <w:b/>
          <w:sz w:val="32"/>
          <w:szCs w:val="32"/>
        </w:rPr>
      </w:pPr>
      <w:bookmarkStart w:id="151" w:name="_Toc9645"/>
      <w:bookmarkStart w:id="152" w:name="_Toc20110"/>
      <w:bookmarkStart w:id="153" w:name="_Toc32660"/>
      <w:bookmarkStart w:id="154" w:name="_Toc7571"/>
      <w:r>
        <w:rPr>
          <w:rFonts w:hint="eastAsia" w:ascii="黑体" w:eastAsia="黑体"/>
          <w:b/>
          <w:sz w:val="32"/>
          <w:szCs w:val="32"/>
        </w:rPr>
        <w:t>二、项目资金申报及使用情况</w:t>
      </w:r>
      <w:bookmarkEnd w:id="151"/>
      <w:bookmarkEnd w:id="152"/>
      <w:bookmarkEnd w:id="153"/>
      <w:bookmarkEnd w:id="154"/>
    </w:p>
    <w:p>
      <w:pPr>
        <w:adjustRightInd w:val="0"/>
        <w:snapToGrid w:val="0"/>
        <w:spacing w:line="600" w:lineRule="exact"/>
        <w:ind w:firstLine="720"/>
        <w:rPr>
          <w:rFonts w:ascii="仿宋_GB2312" w:hAnsi="宋体" w:eastAsia="仿宋_GB2312"/>
          <w:sz w:val="32"/>
          <w:szCs w:val="32"/>
        </w:rPr>
      </w:pPr>
      <w:r>
        <w:rPr>
          <w:rFonts w:hint="eastAsia" w:ascii="楷体_GB2312" w:eastAsia="楷体_GB2312"/>
          <w:b/>
          <w:sz w:val="32"/>
          <w:szCs w:val="32"/>
        </w:rPr>
        <w:t>（一）资金申报及批复情况</w:t>
      </w:r>
      <w:r>
        <w:rPr>
          <w:rFonts w:hint="eastAsia" w:ascii="仿宋_GB2312" w:eastAsia="仿宋_GB2312"/>
          <w:spacing w:val="-8"/>
          <w:sz w:val="32"/>
          <w:szCs w:val="32"/>
        </w:rPr>
        <w:t>。</w:t>
      </w:r>
      <w:r>
        <w:rPr>
          <w:rFonts w:hint="eastAsia" w:ascii="仿宋_GB2312" w:hAnsi="宋体" w:eastAsia="仿宋_GB2312"/>
          <w:sz w:val="32"/>
          <w:szCs w:val="32"/>
          <w:lang w:val="zh-CN"/>
        </w:rPr>
        <w:t>经市财政局批复，</w:t>
      </w:r>
      <w:r>
        <w:rPr>
          <w:rFonts w:hint="eastAsia" w:ascii="仿宋_GB2312" w:hAnsi="Calibri" w:eastAsia="仿宋_GB2312"/>
          <w:sz w:val="32"/>
          <w:szCs w:val="32"/>
        </w:rPr>
        <w:t>市直机关事业单位</w:t>
      </w:r>
      <w:r>
        <w:rPr>
          <w:rFonts w:hint="eastAsia" w:ascii="仿宋_GB2312" w:hAnsi="Calibri" w:eastAsia="仿宋_GB2312"/>
          <w:sz w:val="32"/>
          <w:szCs w:val="32"/>
          <w:lang w:eastAsia="zh-CN"/>
        </w:rPr>
        <w:t>新进</w:t>
      </w:r>
      <w:r>
        <w:rPr>
          <w:rFonts w:hint="eastAsia" w:ascii="仿宋_GB2312" w:hAnsi="Calibri" w:eastAsia="仿宋_GB2312"/>
          <w:sz w:val="32"/>
          <w:szCs w:val="32"/>
        </w:rPr>
        <w:t>人员</w:t>
      </w:r>
      <w:r>
        <w:rPr>
          <w:rFonts w:hint="eastAsia" w:ascii="仿宋_GB2312" w:hAnsi="Calibri" w:eastAsia="仿宋_GB2312"/>
          <w:sz w:val="32"/>
          <w:szCs w:val="32"/>
          <w:lang w:eastAsia="zh-CN"/>
        </w:rPr>
        <w:t>培训</w:t>
      </w:r>
      <w:r>
        <w:rPr>
          <w:rFonts w:hint="eastAsia" w:ascii="仿宋_GB2312" w:hAnsi="Calibri" w:eastAsia="仿宋_GB2312"/>
          <w:sz w:val="32"/>
          <w:szCs w:val="32"/>
        </w:rPr>
        <w:t>经费</w:t>
      </w:r>
      <w:r>
        <w:rPr>
          <w:rFonts w:hint="eastAsia" w:ascii="仿宋_GB2312" w:hAnsi="宋体" w:eastAsia="仿宋_GB2312"/>
          <w:sz w:val="32"/>
          <w:szCs w:val="32"/>
          <w:lang w:val="zh-CN"/>
        </w:rPr>
        <w:t>项目经费</w:t>
      </w:r>
      <w:r>
        <w:rPr>
          <w:rFonts w:hint="eastAsia" w:ascii="仿宋_GB2312" w:hAnsi="宋体" w:eastAsia="仿宋_GB2312"/>
          <w:sz w:val="32"/>
          <w:szCs w:val="32"/>
          <w:lang w:val="en-US" w:eastAsia="zh-CN"/>
        </w:rPr>
        <w:t>50</w:t>
      </w:r>
      <w:r>
        <w:rPr>
          <w:rFonts w:hint="eastAsia" w:ascii="仿宋_GB2312" w:hAnsi="宋体" w:eastAsia="仿宋_GB2312"/>
          <w:sz w:val="32"/>
          <w:szCs w:val="32"/>
          <w:lang w:val="zh-CN"/>
        </w:rPr>
        <w:t>万元。</w:t>
      </w:r>
    </w:p>
    <w:p>
      <w:pPr>
        <w:spacing w:line="576" w:lineRule="exact"/>
        <w:ind w:firstLine="643" w:firstLineChars="200"/>
        <w:rPr>
          <w:rFonts w:hint="eastAsia" w:ascii="仿宋_GB2312" w:hAnsi="宋体" w:eastAsia="仿宋_GB2312"/>
          <w:sz w:val="32"/>
          <w:szCs w:val="32"/>
        </w:rPr>
      </w:pPr>
      <w:r>
        <w:rPr>
          <w:rFonts w:hint="eastAsia" w:ascii="楷体_GB2312" w:eastAsia="楷体_GB2312"/>
          <w:b/>
          <w:sz w:val="32"/>
          <w:szCs w:val="32"/>
        </w:rPr>
        <w:t>（二）资金计划、到位、使用情况</w:t>
      </w:r>
      <w:r>
        <w:rPr>
          <w:rFonts w:hint="eastAsia" w:ascii="仿宋_GB2312" w:eastAsia="仿宋_GB2312"/>
          <w:sz w:val="32"/>
          <w:szCs w:val="32"/>
        </w:rPr>
        <w:t>。</w:t>
      </w:r>
      <w:r>
        <w:rPr>
          <w:rFonts w:hint="eastAsia" w:ascii="仿宋_GB2312" w:hAnsi="宋体" w:eastAsia="仿宋_GB2312"/>
          <w:sz w:val="32"/>
          <w:szCs w:val="32"/>
          <w:lang w:val="zh-CN"/>
        </w:rPr>
        <w:t>该项目资金计划</w:t>
      </w:r>
      <w:r>
        <w:rPr>
          <w:rFonts w:hint="eastAsia" w:ascii="仿宋_GB2312" w:hAnsi="宋体" w:eastAsia="仿宋_GB2312"/>
          <w:sz w:val="32"/>
          <w:szCs w:val="32"/>
          <w:lang w:val="en-US" w:eastAsia="zh-CN"/>
        </w:rPr>
        <w:t>50万</w:t>
      </w:r>
      <w:r>
        <w:rPr>
          <w:rFonts w:hint="eastAsia" w:ascii="仿宋_GB2312" w:hAnsi="宋体" w:eastAsia="仿宋_GB2312"/>
          <w:sz w:val="32"/>
          <w:szCs w:val="32"/>
          <w:lang w:val="zh-CN"/>
        </w:rPr>
        <w:t>元，到位</w:t>
      </w:r>
      <w:r>
        <w:rPr>
          <w:rFonts w:hint="eastAsia" w:ascii="仿宋_GB2312" w:hAnsi="宋体" w:eastAsia="仿宋_GB2312"/>
          <w:sz w:val="32"/>
          <w:szCs w:val="32"/>
          <w:lang w:val="en-US" w:eastAsia="zh-CN"/>
        </w:rPr>
        <w:t>50</w:t>
      </w:r>
      <w:r>
        <w:rPr>
          <w:rFonts w:hint="eastAsia" w:ascii="仿宋_GB2312" w:hAnsi="宋体" w:eastAsia="仿宋_GB2312"/>
          <w:sz w:val="32"/>
          <w:szCs w:val="32"/>
        </w:rPr>
        <w:t>万元，资金到位率100%，为本级财政拨款资金。</w:t>
      </w:r>
      <w:r>
        <w:rPr>
          <w:rFonts w:hint="eastAsia" w:ascii="仿宋_GB2312" w:hAnsi="宋体" w:eastAsia="仿宋_GB2312"/>
          <w:sz w:val="32"/>
          <w:szCs w:val="32"/>
          <w:lang w:val="zh-CN"/>
        </w:rPr>
        <w:t>截止到评价日，该项目资金已使用</w:t>
      </w:r>
      <w:r>
        <w:rPr>
          <w:rFonts w:hint="eastAsia" w:ascii="仿宋_GB2312" w:hAnsi="宋体" w:eastAsia="仿宋_GB2312"/>
          <w:sz w:val="32"/>
          <w:szCs w:val="32"/>
          <w:lang w:val="en-US" w:eastAsia="zh-CN"/>
        </w:rPr>
        <w:t>50万</w:t>
      </w:r>
      <w:r>
        <w:rPr>
          <w:rFonts w:hint="eastAsia" w:ascii="仿宋_GB2312" w:hAnsi="宋体" w:eastAsia="仿宋_GB2312"/>
          <w:sz w:val="32"/>
          <w:szCs w:val="32"/>
          <w:lang w:val="zh-CN"/>
        </w:rPr>
        <w:t>元，完成支付</w:t>
      </w:r>
      <w:r>
        <w:rPr>
          <w:rFonts w:hint="eastAsia" w:ascii="仿宋_GB2312" w:hAnsi="宋体" w:eastAsia="仿宋_GB2312"/>
          <w:sz w:val="32"/>
          <w:szCs w:val="32"/>
          <w:lang w:val="en-US" w:eastAsia="zh-CN"/>
        </w:rPr>
        <w:t>100%</w:t>
      </w:r>
      <w:r>
        <w:rPr>
          <w:rFonts w:hint="eastAsia" w:ascii="仿宋_GB2312" w:hAnsi="宋体" w:eastAsia="仿宋_GB2312"/>
          <w:sz w:val="32"/>
          <w:szCs w:val="32"/>
          <w:lang w:val="zh-CN"/>
        </w:rPr>
        <w:t>，</w:t>
      </w:r>
      <w:r>
        <w:rPr>
          <w:rFonts w:hint="eastAsia" w:ascii="仿宋_GB2312" w:hAnsi="宋体" w:eastAsia="仿宋_GB2312"/>
          <w:sz w:val="32"/>
          <w:szCs w:val="32"/>
        </w:rPr>
        <w:t>预算支出未发现无预算、超预算支出，</w:t>
      </w:r>
      <w:r>
        <w:rPr>
          <w:rFonts w:hint="eastAsia" w:ascii="仿宋_GB2312" w:hAnsi="宋体" w:eastAsia="仿宋_GB2312"/>
          <w:sz w:val="32"/>
          <w:szCs w:val="32"/>
          <w:lang w:val="zh-CN"/>
        </w:rPr>
        <w:t>资金使用安全、规范及有效，资金支付范围、支付标准、支付进度、支付依据等合规合法、与预算相符，</w:t>
      </w:r>
      <w:r>
        <w:rPr>
          <w:rFonts w:hint="eastAsia" w:ascii="仿宋_GB2312" w:hAnsi="宋体" w:eastAsia="仿宋_GB2312"/>
          <w:sz w:val="32"/>
          <w:szCs w:val="32"/>
        </w:rPr>
        <w:t>未发现虚列支出、挤占、挪用、转移财政资金行为。</w:t>
      </w:r>
    </w:p>
    <w:p>
      <w:pPr>
        <w:spacing w:line="576" w:lineRule="exact"/>
        <w:ind w:firstLine="643" w:firstLineChars="200"/>
        <w:outlineLvl w:val="1"/>
        <w:rPr>
          <w:rFonts w:hint="eastAsia" w:ascii="黑体" w:eastAsia="黑体"/>
          <w:b/>
          <w:sz w:val="32"/>
          <w:szCs w:val="32"/>
        </w:rPr>
      </w:pPr>
      <w:bookmarkStart w:id="155" w:name="_Toc24482"/>
      <w:bookmarkStart w:id="156" w:name="_Toc12030"/>
      <w:bookmarkStart w:id="157" w:name="_Toc4898"/>
      <w:bookmarkStart w:id="158" w:name="_Toc1817"/>
      <w:r>
        <w:rPr>
          <w:rFonts w:hint="eastAsia" w:ascii="黑体" w:eastAsia="黑体"/>
          <w:b/>
          <w:sz w:val="32"/>
          <w:szCs w:val="32"/>
        </w:rPr>
        <w:t>三、项目实施及管理情况</w:t>
      </w:r>
      <w:bookmarkEnd w:id="155"/>
      <w:bookmarkEnd w:id="156"/>
      <w:bookmarkEnd w:id="157"/>
      <w:bookmarkEnd w:id="158"/>
    </w:p>
    <w:p>
      <w:p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（一）项目组织架构及实施情况</w:t>
      </w:r>
    </w:p>
    <w:p>
      <w:pPr>
        <w:spacing w:line="576"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按照《事业单位人事管理条例》《事业单位工作人员培训规定》要求，开展市直事业单位新进工作人员</w:t>
      </w:r>
      <w:r>
        <w:rPr>
          <w:rFonts w:hint="eastAsia" w:ascii="仿宋_GB2312" w:hAnsi="宋体" w:eastAsia="仿宋_GB2312"/>
          <w:sz w:val="32"/>
          <w:szCs w:val="32"/>
          <w:lang w:eastAsia="zh-CN"/>
        </w:rPr>
        <w:t>岗前</w:t>
      </w:r>
      <w:r>
        <w:rPr>
          <w:rFonts w:hint="eastAsia" w:ascii="仿宋_GB2312" w:hAnsi="宋体" w:eastAsia="仿宋_GB2312"/>
          <w:sz w:val="32"/>
          <w:szCs w:val="32"/>
        </w:rPr>
        <w:t>培训</w:t>
      </w:r>
      <w:r>
        <w:rPr>
          <w:rFonts w:hint="eastAsia" w:ascii="仿宋_GB2312" w:hAnsi="宋体" w:eastAsia="仿宋_GB2312"/>
          <w:sz w:val="32"/>
          <w:szCs w:val="32"/>
          <w:lang w:eastAsia="zh-CN"/>
        </w:rPr>
        <w:t>。培训对象为</w:t>
      </w:r>
      <w:r>
        <w:rPr>
          <w:rFonts w:hint="eastAsia" w:ascii="仿宋_GB2312" w:hAnsi="宋体" w:eastAsia="仿宋_GB2312"/>
          <w:sz w:val="32"/>
          <w:szCs w:val="32"/>
        </w:rPr>
        <w:t>2019年以来，市直属事业单位新招聘的工作人员，培训分两期举办，共156人，第一期81人，第二期75人</w:t>
      </w:r>
      <w:r>
        <w:rPr>
          <w:rFonts w:hint="eastAsia" w:ascii="仿宋_GB2312" w:hAnsi="宋体" w:eastAsia="仿宋_GB2312"/>
          <w:sz w:val="32"/>
          <w:szCs w:val="32"/>
          <w:lang w:eastAsia="zh-CN"/>
        </w:rPr>
        <w:t>。此次培训工作，由市人力资源社会保障局主办，市人才交流中心协办，广元开放大学承办，分两批开展。</w:t>
      </w:r>
    </w:p>
    <w:p>
      <w:pPr>
        <w:numPr>
          <w:ilvl w:val="0"/>
          <w:numId w:val="11"/>
        </w:num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项目管理情况</w:t>
      </w:r>
    </w:p>
    <w:p>
      <w:pPr>
        <w:spacing w:line="576" w:lineRule="exact"/>
        <w:ind w:firstLine="640" w:firstLineChars="200"/>
        <w:rPr>
          <w:rFonts w:hint="default" w:ascii="楷体_GB2312" w:eastAsia="仿宋_GB2312"/>
          <w:b/>
          <w:sz w:val="32"/>
          <w:szCs w:val="32"/>
          <w:lang w:val="en-US" w:eastAsia="zh-CN"/>
        </w:rPr>
      </w:pPr>
      <w:r>
        <w:rPr>
          <w:rFonts w:hint="eastAsia" w:ascii="仿宋_GB2312" w:hAnsi="宋体" w:eastAsia="仿宋_GB2312"/>
          <w:sz w:val="32"/>
          <w:szCs w:val="32"/>
          <w:lang w:val="en-US" w:eastAsia="zh-CN"/>
        </w:rPr>
        <w:t>根据</w:t>
      </w:r>
      <w:r>
        <w:rPr>
          <w:rFonts w:hint="eastAsia" w:ascii="仿宋_GB2312" w:hAnsi="宋体" w:eastAsia="仿宋_GB2312"/>
          <w:sz w:val="32"/>
          <w:szCs w:val="32"/>
        </w:rPr>
        <w:t>《事业单位人事管理条例》《事业单位工作人员培训规定》</w:t>
      </w:r>
      <w:r>
        <w:rPr>
          <w:rFonts w:hint="eastAsia" w:ascii="仿宋_GB2312" w:hAnsi="宋体" w:eastAsia="仿宋_GB2312"/>
          <w:sz w:val="32"/>
          <w:szCs w:val="32"/>
          <w:lang w:val="en-US" w:eastAsia="zh-CN"/>
        </w:rPr>
        <w:t>相关</w:t>
      </w:r>
      <w:r>
        <w:rPr>
          <w:rFonts w:hint="eastAsia" w:ascii="仿宋_GB2312" w:hAnsi="宋体" w:eastAsia="仿宋_GB2312"/>
          <w:sz w:val="32"/>
          <w:szCs w:val="32"/>
        </w:rPr>
        <w:t>要求</w:t>
      </w:r>
      <w:r>
        <w:rPr>
          <w:rFonts w:hint="eastAsia" w:ascii="仿宋_GB2312" w:hAnsi="宋体" w:eastAsia="仿宋_GB2312"/>
          <w:sz w:val="32"/>
          <w:szCs w:val="32"/>
          <w:lang w:val="en-US" w:eastAsia="zh-CN"/>
        </w:rPr>
        <w:t>进行项目管理，安排专人负责，项目方案报局领导审批同意后实施，项目经费</w:t>
      </w:r>
      <w:r>
        <w:rPr>
          <w:rFonts w:hint="eastAsia" w:ascii="仿宋_GB2312" w:hAnsi="宋体" w:eastAsia="仿宋_GB2312" w:cs="仿宋_GB2312"/>
          <w:sz w:val="32"/>
          <w:szCs w:val="32"/>
          <w:lang w:val="en-US" w:eastAsia="zh-CN"/>
        </w:rPr>
        <w:t>的支付严格按照</w:t>
      </w:r>
      <w:r>
        <w:rPr>
          <w:rFonts w:hint="eastAsia" w:ascii="仿宋_GB2312" w:hAnsi="宋体" w:eastAsia="仿宋_GB2312" w:cs="仿宋_GB2312"/>
          <w:sz w:val="32"/>
          <w:szCs w:val="32"/>
          <w:lang w:val="zh-CN"/>
        </w:rPr>
        <w:t>《财务管理制度》“</w:t>
      </w:r>
      <w:r>
        <w:rPr>
          <w:rFonts w:hint="eastAsia" w:ascii="仿宋_GB2312" w:hAnsi="宋体" w:eastAsia="仿宋_GB2312" w:cs="仿宋_GB2312"/>
          <w:sz w:val="32"/>
          <w:szCs w:val="32"/>
          <w:lang w:val="en-US" w:eastAsia="zh-CN"/>
        </w:rPr>
        <w:t>三重一大</w:t>
      </w:r>
      <w:r>
        <w:rPr>
          <w:rFonts w:hint="eastAsia" w:ascii="仿宋_GB2312" w:hAnsi="宋体" w:eastAsia="仿宋_GB2312" w:cs="仿宋_GB2312"/>
          <w:sz w:val="32"/>
          <w:szCs w:val="32"/>
          <w:lang w:val="zh-CN"/>
        </w:rPr>
        <w:t>”</w:t>
      </w:r>
      <w:r>
        <w:rPr>
          <w:rFonts w:hint="eastAsia" w:ascii="仿宋_GB2312" w:hAnsi="宋体" w:eastAsia="仿宋_GB2312" w:cs="仿宋_GB2312"/>
          <w:sz w:val="32"/>
          <w:szCs w:val="32"/>
          <w:lang w:val="en-US" w:eastAsia="zh-CN"/>
        </w:rPr>
        <w:t>制度有关规定执行</w:t>
      </w:r>
      <w:r>
        <w:rPr>
          <w:rFonts w:hint="eastAsia" w:ascii="仿宋_GB2312" w:hAnsi="宋体" w:eastAsia="仿宋_GB2312" w:cs="仿宋_GB2312"/>
          <w:sz w:val="32"/>
          <w:szCs w:val="32"/>
          <w:lang w:val="zh-CN"/>
        </w:rPr>
        <w:t>。</w:t>
      </w:r>
    </w:p>
    <w:p>
      <w:pPr>
        <w:numPr>
          <w:ilvl w:val="0"/>
          <w:numId w:val="11"/>
        </w:numPr>
        <w:spacing w:line="576" w:lineRule="exact"/>
        <w:ind w:left="0" w:leftChars="0" w:firstLine="643" w:firstLineChars="200"/>
        <w:outlineLvl w:val="2"/>
        <w:rPr>
          <w:rFonts w:hint="eastAsia" w:ascii="楷体_GB2312" w:eastAsia="楷体_GB2312"/>
          <w:b/>
          <w:sz w:val="32"/>
          <w:szCs w:val="32"/>
        </w:rPr>
      </w:pPr>
      <w:r>
        <w:rPr>
          <w:rFonts w:hint="eastAsia" w:ascii="楷体_GB2312" w:eastAsia="楷体_GB2312"/>
          <w:b/>
          <w:sz w:val="32"/>
          <w:szCs w:val="32"/>
        </w:rPr>
        <w:t>项目监管情况</w:t>
      </w:r>
    </w:p>
    <w:p>
      <w:pPr>
        <w:spacing w:line="576"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项目实施过程中，安排专人全程跟踪，对项目实施的合理性、合规性进行监控，确保项目顺利实施，并取得预期效果。</w:t>
      </w:r>
    </w:p>
    <w:p>
      <w:pPr>
        <w:spacing w:line="576" w:lineRule="exact"/>
        <w:ind w:firstLine="643" w:firstLineChars="200"/>
        <w:outlineLvl w:val="1"/>
        <w:rPr>
          <w:rFonts w:hint="eastAsia" w:ascii="黑体" w:eastAsia="黑体"/>
          <w:b/>
          <w:sz w:val="32"/>
          <w:szCs w:val="32"/>
        </w:rPr>
      </w:pPr>
      <w:bookmarkStart w:id="159" w:name="_Toc19986"/>
      <w:bookmarkStart w:id="160" w:name="_Toc25440"/>
      <w:bookmarkStart w:id="161" w:name="_Toc6718"/>
      <w:bookmarkStart w:id="162" w:name="_Toc1510"/>
      <w:r>
        <w:rPr>
          <w:rFonts w:hint="eastAsia" w:ascii="黑体" w:eastAsia="黑体"/>
          <w:b/>
          <w:sz w:val="32"/>
          <w:szCs w:val="32"/>
        </w:rPr>
        <w:t>四、项目绩效情况</w:t>
      </w:r>
      <w:bookmarkEnd w:id="159"/>
      <w:bookmarkEnd w:id="160"/>
      <w:bookmarkEnd w:id="161"/>
      <w:bookmarkEnd w:id="162"/>
    </w:p>
    <w:p>
      <w:p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（一）项目完成情况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为确保培训质量，此次培训拟制了详细的工作方案和疫情防控措施，明确责任分工，准备充分。市人力资源社会保障局负责统筹协调，市人才交流中心和广元开放大学负责具体组织实施和项目跟进等工作。从内容设计、班级管理、现场实践、食宿保障等方面进行严密细致准备，专门印发了《学员手册》《培训资料》等研修资料，建立了研修学员微信群，指定了班干部及小组长管理团队辅助配合班主任做好班级管理工作，深入培训地点进行服务质量、常规安全及疫情防控等专项检查，组织授课专家进行授课准备与交流等。各方协调配合和精细专业的准备工作，为培训取得实效提供了有力支撑和保障。</w:t>
      </w:r>
    </w:p>
    <w:p>
      <w:p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（二）项目效益情况</w:t>
      </w:r>
    </w:p>
    <w:p>
      <w:pPr>
        <w:spacing w:line="576" w:lineRule="exact"/>
        <w:ind w:firstLine="640" w:firstLineChars="200"/>
        <w:rPr>
          <w:rFonts w:hint="eastAsia" w:ascii="仿宋_GB2312" w:hAnsi="Calibri" w:eastAsia="仿宋_GB2312"/>
          <w:sz w:val="32"/>
          <w:szCs w:val="32"/>
          <w:lang w:eastAsia="zh-CN"/>
        </w:rPr>
      </w:pPr>
      <w:r>
        <w:rPr>
          <w:rFonts w:hint="eastAsia" w:ascii="仿宋_GB2312" w:hAnsi="Calibri" w:eastAsia="仿宋_GB2312"/>
          <w:sz w:val="32"/>
          <w:szCs w:val="32"/>
          <w:lang w:eastAsia="zh-CN"/>
        </w:rPr>
        <w:t>既是对新招聘人员素质和才能的一次检阅，也是落实上级部门关于加强岗前培训精神，引导新进人员不断提高业务水平作出的一次部署，更是为推进我市经济社会全面、可持续和跨越式发展而采取的一项重要举措，有助力我市事业单位骨干队伍培养，扎实推动全市事业单位工作实现新发展、取得新突破。</w:t>
      </w:r>
    </w:p>
    <w:p>
      <w:pPr>
        <w:spacing w:line="576" w:lineRule="exact"/>
        <w:ind w:firstLine="643" w:firstLineChars="200"/>
        <w:outlineLvl w:val="1"/>
        <w:rPr>
          <w:rFonts w:ascii="黑体" w:eastAsia="黑体"/>
          <w:b/>
          <w:sz w:val="32"/>
          <w:szCs w:val="32"/>
        </w:rPr>
      </w:pPr>
      <w:bookmarkStart w:id="163" w:name="_Toc7945"/>
      <w:bookmarkStart w:id="164" w:name="_Toc13151"/>
      <w:bookmarkStart w:id="165" w:name="_Toc1409"/>
      <w:bookmarkStart w:id="166" w:name="_Toc32388"/>
      <w:r>
        <w:rPr>
          <w:rFonts w:hint="eastAsia" w:ascii="黑体" w:eastAsia="黑体"/>
          <w:b/>
          <w:sz w:val="32"/>
          <w:szCs w:val="32"/>
        </w:rPr>
        <w:t>五、自评结论及建议</w:t>
      </w:r>
      <w:bookmarkEnd w:id="163"/>
      <w:bookmarkEnd w:id="164"/>
      <w:bookmarkEnd w:id="165"/>
      <w:bookmarkEnd w:id="166"/>
    </w:p>
    <w:p>
      <w:p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（一）评价结论。</w:t>
      </w:r>
    </w:p>
    <w:p>
      <w:pPr>
        <w:spacing w:line="576" w:lineRule="exact"/>
        <w:ind w:firstLine="640" w:firstLineChars="200"/>
        <w:rPr>
          <w:rFonts w:hint="eastAsia" w:ascii="仿宋_GB2312" w:hAnsi="Calibri" w:eastAsia="仿宋_GB2312"/>
          <w:sz w:val="32"/>
          <w:szCs w:val="32"/>
          <w:lang w:eastAsia="zh-CN"/>
        </w:rPr>
      </w:pPr>
      <w:r>
        <w:rPr>
          <w:rFonts w:hint="eastAsia" w:ascii="仿宋_GB2312" w:hAnsi="Calibri" w:eastAsia="仿宋_GB2312"/>
          <w:sz w:val="32"/>
          <w:szCs w:val="32"/>
          <w:lang w:eastAsia="zh-CN"/>
        </w:rPr>
        <w:t>该项资金的合理使用，为进一步做好事业单位人员培训工作奠定了基础，弥补了事业单位新进人员知识储备不足，有助于学员找准自己的角色定位，在今后的工作中将发扬理论联系实际的学风，把学到的知识和本领，用到今后的具体工作中去，迎接新的挑战。</w:t>
      </w:r>
    </w:p>
    <w:p>
      <w:pPr>
        <w:spacing w:line="576"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（二）存在的问题。</w:t>
      </w:r>
    </w:p>
    <w:p>
      <w:pPr>
        <w:spacing w:line="576" w:lineRule="exact"/>
        <w:ind w:firstLine="640" w:firstLineChars="200"/>
        <w:rPr>
          <w:rFonts w:hint="eastAsia" w:ascii="仿宋_GB2312" w:hAnsi="Calibri" w:eastAsia="仿宋_GB2312"/>
          <w:sz w:val="32"/>
          <w:szCs w:val="32"/>
          <w:lang w:eastAsia="zh-CN"/>
        </w:rPr>
      </w:pPr>
      <w:r>
        <w:rPr>
          <w:rFonts w:hint="eastAsia" w:ascii="仿宋_GB2312" w:eastAsia="仿宋_GB2312"/>
          <w:sz w:val="32"/>
          <w:szCs w:val="32"/>
          <w:lang w:eastAsia="zh-CN"/>
        </w:rPr>
        <w:t>此次</w:t>
      </w:r>
      <w:r>
        <w:rPr>
          <w:rFonts w:hint="eastAsia" w:ascii="仿宋_GB2312" w:eastAsia="仿宋_GB2312"/>
          <w:sz w:val="32"/>
          <w:szCs w:val="32"/>
        </w:rPr>
        <w:t>培训</w:t>
      </w:r>
      <w:r>
        <w:rPr>
          <w:rFonts w:hint="eastAsia" w:ascii="仿宋_GB2312" w:eastAsia="仿宋_GB2312"/>
          <w:sz w:val="32"/>
          <w:szCs w:val="32"/>
          <w:lang w:eastAsia="zh-CN"/>
        </w:rPr>
        <w:t>虽然达到了</w:t>
      </w:r>
      <w:r>
        <w:rPr>
          <w:rFonts w:hint="eastAsia" w:ascii="仿宋_GB2312" w:eastAsia="仿宋_GB2312"/>
          <w:sz w:val="32"/>
          <w:szCs w:val="32"/>
        </w:rPr>
        <w:t>预期效果</w:t>
      </w:r>
      <w:r>
        <w:rPr>
          <w:rFonts w:hint="eastAsia" w:ascii="仿宋_GB2312" w:eastAsia="仿宋_GB2312"/>
          <w:sz w:val="32"/>
          <w:szCs w:val="32"/>
          <w:lang w:eastAsia="zh-CN"/>
        </w:rPr>
        <w:t>，但因受</w:t>
      </w:r>
      <w:r>
        <w:rPr>
          <w:rFonts w:hint="eastAsia" w:ascii="仿宋_GB2312" w:eastAsia="仿宋_GB2312"/>
          <w:sz w:val="32"/>
          <w:szCs w:val="32"/>
        </w:rPr>
        <w:t>疫情</w:t>
      </w:r>
      <w:r>
        <w:rPr>
          <w:rFonts w:hint="eastAsia" w:ascii="仿宋_GB2312" w:eastAsia="仿宋_GB2312"/>
          <w:sz w:val="32"/>
          <w:szCs w:val="32"/>
          <w:lang w:eastAsia="zh-CN"/>
        </w:rPr>
        <w:t>等其他因素的影响</w:t>
      </w:r>
      <w:r>
        <w:rPr>
          <w:rFonts w:hint="eastAsia" w:ascii="仿宋_GB2312" w:eastAsia="仿宋_GB2312"/>
          <w:sz w:val="32"/>
          <w:szCs w:val="32"/>
        </w:rPr>
        <w:t>，培训天数和培训方式的安排均受到限制</w:t>
      </w:r>
      <w:r>
        <w:rPr>
          <w:rFonts w:hint="eastAsia" w:ascii="仿宋_GB2312" w:hAnsi="Calibri" w:eastAsia="仿宋_GB2312"/>
          <w:sz w:val="32"/>
          <w:szCs w:val="32"/>
          <w:lang w:eastAsia="zh-CN"/>
        </w:rPr>
        <w:t>。</w:t>
      </w:r>
    </w:p>
    <w:p>
      <w:pPr>
        <w:spacing w:line="576" w:lineRule="exact"/>
        <w:ind w:firstLine="643" w:firstLineChars="200"/>
        <w:outlineLvl w:val="2"/>
        <w:rPr>
          <w:rFonts w:ascii="楷体_GB2312" w:eastAsia="楷体_GB2312"/>
          <w:b/>
          <w:sz w:val="32"/>
          <w:szCs w:val="32"/>
        </w:rPr>
      </w:pPr>
      <w:r>
        <w:rPr>
          <w:rFonts w:hint="eastAsia" w:ascii="楷体_GB2312" w:eastAsia="楷体_GB2312"/>
          <w:b/>
          <w:sz w:val="32"/>
          <w:szCs w:val="32"/>
        </w:rPr>
        <w:t>（三）相关建议</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本着“实际、实用、实效”的原则，根据事业单位工作人员岗位、年龄和文化程度等特点，突出重点，有针对性地确定培训内容，提高培训的实效性，达到学以致用</w:t>
      </w:r>
      <w:r>
        <w:rPr>
          <w:rFonts w:hint="eastAsia" w:ascii="仿宋_GB2312" w:eastAsia="仿宋_GB2312"/>
          <w:sz w:val="32"/>
          <w:szCs w:val="32"/>
          <w:lang w:eastAsia="zh-CN"/>
        </w:rPr>
        <w:t>。</w:t>
      </w:r>
    </w:p>
    <w:p>
      <w:pPr>
        <w:rPr>
          <w:rFonts w:hint="eastAsia"/>
          <w:lang w:eastAsia="zh-CN"/>
        </w:rPr>
      </w:pPr>
      <w:r>
        <w:rPr>
          <w:rFonts w:hint="eastAsia"/>
          <w:lang w:eastAsia="zh-CN"/>
        </w:rPr>
        <w:br w:type="page"/>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default"/>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2023年专项资金预算项目绩效自评报告三</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（广元市首批“蜀道英才工程”入选者岗位激励资金）</w:t>
      </w:r>
    </w:p>
    <w:p>
      <w:pPr>
        <w:pStyle w:val="35"/>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b w:val="0"/>
          <w:bCs w:val="0"/>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sz w:val="32"/>
          <w:szCs w:val="32"/>
          <w:highlight w:val="none"/>
          <w:lang w:val="zh-CN"/>
        </w:rPr>
      </w:pPr>
      <w:bookmarkStart w:id="167" w:name="_Toc13336"/>
      <w:bookmarkStart w:id="168" w:name="_Toc23076"/>
      <w:bookmarkStart w:id="169" w:name="_Toc4975"/>
      <w:bookmarkStart w:id="170" w:name="_Toc17326"/>
      <w:r>
        <w:rPr>
          <w:rFonts w:hint="eastAsia" w:ascii="黑体" w:hAnsi="宋体" w:eastAsia="黑体"/>
          <w:b w:val="0"/>
          <w:bCs w:val="0"/>
          <w:sz w:val="32"/>
          <w:szCs w:val="32"/>
          <w:highlight w:val="none"/>
        </w:rPr>
        <w:t>一、</w:t>
      </w:r>
      <w:r>
        <w:rPr>
          <w:rFonts w:hint="eastAsia" w:ascii="黑体" w:hAnsi="宋体" w:eastAsia="黑体"/>
          <w:b w:val="0"/>
          <w:bCs w:val="0"/>
          <w:sz w:val="32"/>
          <w:szCs w:val="32"/>
          <w:highlight w:val="none"/>
          <w:lang w:val="zh-CN"/>
        </w:rPr>
        <w:t>项目概况</w:t>
      </w:r>
      <w:bookmarkEnd w:id="167"/>
      <w:bookmarkEnd w:id="168"/>
      <w:bookmarkEnd w:id="169"/>
      <w:bookmarkEnd w:id="170"/>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1．</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主管部门职能。</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根据《中共广元市委、广元市人民政府关于印发〈广元市机构改革方案〉和〈广元市机构改革方案的实施意见〉的通知》（广委发〔2019〕2号）规定，我局牵头负责全市技能人才及就业创业人才培养工作，具体包括广元工匠、广元领军人才的挖掘培养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2．</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立项</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依据。</w:t>
      </w:r>
      <w:r>
        <w:rPr>
          <w:rFonts w:hint="eastAsia" w:ascii="仿宋_GB2312" w:hAnsi="仿宋_GB2312" w:eastAsia="仿宋_GB2312" w:cs="仿宋_GB2312"/>
          <w:color w:val="000000"/>
          <w:kern w:val="0"/>
          <w:sz w:val="32"/>
          <w:szCs w:val="32"/>
          <w:lang w:val="en-US" w:eastAsia="zh-CN" w:bidi="ar"/>
        </w:rPr>
        <w:t>《关于实施新时代“蜀道英才计划”的三十八条措施》</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《广元市“蜀道英才工程”实施办法》</w:t>
      </w:r>
      <w:r>
        <w:rPr>
          <w:rFonts w:hint="eastAsia" w:ascii="仿宋_GB2312" w:hAnsi="仿宋_GB2312" w:eastAsia="仿宋_GB2312" w:cs="仿宋_GB2312"/>
          <w:sz w:val="32"/>
          <w:szCs w:val="32"/>
        </w:rPr>
        <w:t>《“蜀道英才工程”广元创新创业领军人才项目实施方案》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和《“蜀道英才工程”广元工匠项目实施方案》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等相关政策文件</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3．资金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或项目</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管理办法制定情况。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根据市委组织部、市财政局等11部门《关于印发〈广元市“蜀道英才工程”实施办法〉的通知》（广组通〔2018〕87号）规定，对“蜀道英才工程”入选者在管理期内，给予每人每月500元岗位激励资金。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yellow"/>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4．资金分配的原则及考虑因素。预算资金合计</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27.6万元，29名广元工匠（</w:t>
      </w:r>
      <w:r>
        <w:rPr>
          <w:rFonts w:hint="eastAsia" w:ascii="仿宋_GB2312" w:hAnsi="仿宋_GB2312" w:eastAsia="仿宋_GB2312" w:cs="仿宋_GB2312"/>
          <w:sz w:val="32"/>
          <w:szCs w:val="32"/>
        </w:rPr>
        <w:t>王二超因处于广元市学术和技术带头人管理期内，不再重复享受岗位激励资金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），17名广元创业领军人才（</w:t>
      </w:r>
      <w:r>
        <w:rPr>
          <w:rFonts w:hint="eastAsia" w:ascii="仿宋_GB2312" w:hAnsi="仿宋_GB2312" w:eastAsia="仿宋_GB2312" w:cs="仿宋_GB2312"/>
          <w:sz w:val="32"/>
          <w:szCs w:val="32"/>
        </w:rPr>
        <w:t>左和平不在本次核实上报名单中，经与市委组织部沟通，涉及左和平的6000元激励资金需退还财政平台</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），每人每月500元，共计27.6万元。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为46名“蜀道英才工程”入选者按时拨付岗位激励资金，增强人才获得感、归宿感、幸福感，调动各类优秀人才干事创业积极性力度，提高各类优秀人才满意度。本项目</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评价申报内容与实际相符，申报目标合理可行。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一是加强统筹，成立自评工作组。二是组织实施，通过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查阅相关文件、补助金拨付单等材料，确保项目支出无差错，达到预算绩效目标</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。三是考评结果，通过自评，得出考评分值，并查找问题，分析原因，提出整改意见。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171" w:name="_Toc12833"/>
      <w:bookmarkStart w:id="172" w:name="_Toc1841"/>
      <w:bookmarkStart w:id="173" w:name="_Toc13708"/>
      <w:bookmarkStart w:id="174" w:name="_Toc8674"/>
      <w:r>
        <w:rPr>
          <w:rFonts w:hint="eastAsia" w:ascii="黑体" w:hAnsi="宋体" w:eastAsia="黑体"/>
          <w:b w:val="0"/>
          <w:bCs w:val="0"/>
          <w:color w:val="auto"/>
          <w:sz w:val="32"/>
          <w:szCs w:val="32"/>
          <w:highlight w:val="none"/>
          <w:u w:val="none"/>
        </w:rPr>
        <w:t>二、项目资金申报及使用情况</w:t>
      </w:r>
      <w:bookmarkEnd w:id="171"/>
      <w:bookmarkEnd w:id="172"/>
      <w:bookmarkEnd w:id="173"/>
      <w:bookmarkEnd w:id="174"/>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申报项目资金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27.6万元，批复27.6万元，未调整预算。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仿宋_GB2312" w:hAnsi="宋体"/>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u w:val="none"/>
          <w:shd w:val="clear" w:color="auto" w:fill="FFFFFF"/>
          <w:lang w:val="en-US"/>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1．资金计划。</w:t>
      </w:r>
      <w:r>
        <w:rPr>
          <w:rFonts w:hint="eastAsia" w:ascii="仿宋_GB2312" w:hAnsi="宋体" w:eastAsia="仿宋_GB2312" w:cs="仿宋_GB2312"/>
          <w:color w:val="auto"/>
          <w:sz w:val="32"/>
          <w:szCs w:val="32"/>
          <w:lang w:val="zh-CN"/>
        </w:rPr>
        <w:t>经市人大审查批准及市财政局批复，</w:t>
      </w:r>
      <w:r>
        <w:rPr>
          <w:rFonts w:hint="eastAsia" w:ascii="仿宋_GB2312" w:hAnsi="宋体" w:cs="仿宋_GB2312"/>
          <w:color w:val="auto"/>
          <w:sz w:val="32"/>
          <w:szCs w:val="32"/>
          <w:lang w:val="en-US" w:eastAsia="zh-CN"/>
        </w:rPr>
        <w:t>追加</w:t>
      </w:r>
      <w:r>
        <w:rPr>
          <w:rFonts w:hint="eastAsia" w:ascii="仿宋_GB2312" w:hAnsi="仿宋_GB2312" w:eastAsia="仿宋_GB2312" w:cs="仿宋_GB2312"/>
          <w:b w:val="0"/>
          <w:bCs w:val="0"/>
          <w:color w:val="auto"/>
          <w:w w:val="100"/>
          <w:kern w:val="2"/>
          <w:sz w:val="32"/>
          <w:szCs w:val="32"/>
          <w:lang w:val="en-US" w:eastAsia="zh-CN" w:bidi="ar-SA"/>
        </w:rPr>
        <w:t>“蜀道英才工程”入选者岗位激励资金</w:t>
      </w:r>
      <w:r>
        <w:rPr>
          <w:rFonts w:hint="eastAsia" w:ascii="仿宋_GB2312" w:hAnsi="仿宋_GB2312" w:cs="仿宋_GB2312"/>
          <w:b w:val="0"/>
          <w:bCs w:val="0"/>
          <w:color w:val="auto"/>
          <w:w w:val="100"/>
          <w:kern w:val="2"/>
          <w:sz w:val="32"/>
          <w:szCs w:val="32"/>
          <w:lang w:val="en-US" w:eastAsia="zh-CN" w:bidi="ar-SA"/>
        </w:rPr>
        <w:t>27.6万元。</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sectPr>
          <w:footerReference r:id="rId4" w:type="default"/>
          <w:pgSz w:w="11906" w:h="16838"/>
          <w:pgMar w:top="2098" w:right="1474" w:bottom="1984" w:left="1587" w:header="851" w:footer="1559" w:gutter="0"/>
          <w:pgNumType w:fmt="decimal" w:start="1"/>
          <w:cols w:space="425" w:num="1"/>
          <w:docGrid w:type="lines" w:linePitch="312" w:charSpace="0"/>
        </w:sectPr>
      </w:pPr>
    </w:p>
    <w:p>
      <w:pPr>
        <w:keepNext w:val="0"/>
        <w:keepLines w:val="0"/>
        <w:pageBreakBefore w:val="0"/>
        <w:widowControl w:val="0"/>
        <w:numPr>
          <w:ilvl w:val="0"/>
          <w:numId w:val="12"/>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资金到位。</w:t>
      </w:r>
      <w:r>
        <w:rPr>
          <w:rFonts w:hint="eastAsia" w:ascii="仿宋_GB2312" w:hAnsi="仿宋_GB2312" w:eastAsia="仿宋_GB2312" w:cs="仿宋_GB2312"/>
          <w:b w:val="0"/>
          <w:bCs w:val="0"/>
          <w:sz w:val="32"/>
          <w:szCs w:val="32"/>
          <w:lang w:val="zh-CN"/>
        </w:rPr>
        <w:t>该项目资金到位</w:t>
      </w:r>
      <w:r>
        <w:rPr>
          <w:rFonts w:hint="eastAsia" w:ascii="仿宋_GB2312" w:hAnsi="仿宋_GB2312" w:eastAsia="仿宋_GB2312" w:cs="仿宋_GB2312"/>
          <w:b w:val="0"/>
          <w:bCs w:val="0"/>
          <w:color w:val="auto"/>
          <w:w w:val="100"/>
          <w:kern w:val="2"/>
          <w:sz w:val="32"/>
          <w:szCs w:val="32"/>
          <w:lang w:val="en-US" w:eastAsia="zh-CN" w:bidi="ar-SA"/>
        </w:rPr>
        <w:t>27.6</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资金到位率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100%</w:t>
      </w:r>
      <w:r>
        <w:rPr>
          <w:rFonts w:hint="eastAsia" w:ascii="仿宋_GB2312" w:hAnsi="仿宋_GB2312" w:eastAsia="仿宋_GB2312" w:cs="仿宋_GB2312"/>
          <w:b w:val="0"/>
          <w:bCs w:val="0"/>
          <w:sz w:val="32"/>
          <w:szCs w:val="32"/>
          <w:lang w:val="zh-CN"/>
        </w:rPr>
        <w:t>，为本级财政拨款资金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76" w:lineRule="exact"/>
        <w:ind w:left="0" w:leftChars="0"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资金使用。使用资金</w:t>
      </w:r>
      <w:r>
        <w:rPr>
          <w:rFonts w:hint="eastAsia" w:ascii="仿宋_GB2312" w:hAnsi="仿宋_GB2312" w:eastAsia="仿宋_GB2312" w:cs="仿宋_GB2312"/>
          <w:b w:val="0"/>
          <w:bCs w:val="0"/>
          <w:color w:val="auto"/>
          <w:w w:val="100"/>
          <w:kern w:val="2"/>
          <w:sz w:val="32"/>
          <w:szCs w:val="32"/>
          <w:lang w:val="en-US" w:eastAsia="zh-CN" w:bidi="ar-SA"/>
        </w:rPr>
        <w:t>27.6</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万</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资金拨付率100%。</w:t>
      </w:r>
      <w:r>
        <w:rPr>
          <w:rFonts w:hint="eastAsia" w:ascii="仿宋_GB2312" w:hAnsi="仿宋_GB2312" w:eastAsia="仿宋_GB2312" w:cs="仿宋_GB2312"/>
          <w:sz w:val="32"/>
          <w:szCs w:val="32"/>
        </w:rPr>
        <w:t>根据广组函〔2022〕52号文件要求，2022年度广元工匠、广元创业领军人才岗位激励资金由我局代为发放，发放标准为6000元</w:t>
      </w:r>
      <w:r>
        <w:rPr>
          <w:rFonts w:hint="eastAsia" w:ascii="仿宋_GB2312" w:hAnsi="仿宋_GB2312" w:eastAsia="仿宋_GB2312" w:cs="仿宋_GB2312"/>
          <w:sz w:val="32"/>
          <w:szCs w:val="32"/>
          <w:lang w:val="en"/>
        </w:rPr>
        <w:t>/人（</w:t>
      </w:r>
      <w:r>
        <w:rPr>
          <w:rFonts w:hint="eastAsia" w:ascii="仿宋_GB2312" w:hAnsi="仿宋_GB2312" w:eastAsia="仿宋_GB2312" w:cs="仿宋_GB2312"/>
          <w:sz w:val="32"/>
          <w:szCs w:val="32"/>
        </w:rPr>
        <w:t>500元</w:t>
      </w:r>
      <w:r>
        <w:rPr>
          <w:rFonts w:hint="eastAsia" w:ascii="仿宋_GB2312" w:hAnsi="仿宋_GB2312" w:eastAsia="仿宋_GB2312" w:cs="仿宋_GB2312"/>
          <w:sz w:val="32"/>
          <w:szCs w:val="32"/>
          <w:lang w:val="en"/>
        </w:rPr>
        <w:t>/人·月）</w:t>
      </w:r>
      <w:r>
        <w:rPr>
          <w:rFonts w:hint="eastAsia" w:ascii="仿宋_GB2312" w:hAnsi="仿宋_GB2312" w:eastAsia="仿宋_GB2312" w:cs="仿宋_GB2312"/>
          <w:sz w:val="32"/>
          <w:szCs w:val="32"/>
        </w:rPr>
        <w:t>。经核实，我局负责代发29名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王二超因处于广元市学术和技术带头人管理期内，不再重复享受岗位激励资金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广元工匠岗位激励资金，共计18万元（含补发</w:t>
      </w:r>
      <w:r>
        <w:rPr>
          <w:rFonts w:hint="eastAsia" w:ascii="仿宋_GB2312" w:hAnsi="仿宋_GB2312" w:eastAsia="仿宋_GB2312" w:cs="仿宋_GB2312"/>
          <w:sz w:val="32"/>
          <w:szCs w:val="32"/>
          <w:lang w:val="en-US" w:eastAsia="zh-CN"/>
        </w:rPr>
        <w:t>王用祥2020年度岗位激励资金</w:t>
      </w:r>
      <w:r>
        <w:rPr>
          <w:rFonts w:hint="eastAsia" w:ascii="仿宋_GB2312" w:hAnsi="仿宋_GB2312" w:eastAsia="仿宋_GB2312" w:cs="仿宋_GB2312"/>
          <w:sz w:val="32"/>
          <w:szCs w:val="32"/>
        </w:rPr>
        <w:t>6000元）；16名广元创业领军人才2022年度岗位激励资金，共计9.6万元。以上资金共计27.6万元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楷体_GB2312" w:hAnsi="宋体" w:eastAsia="楷体_GB2312"/>
          <w:b w:val="0"/>
          <w:bCs w:val="0"/>
          <w:color w:val="auto"/>
          <w:sz w:val="32"/>
          <w:szCs w:val="32"/>
          <w:highlight w:val="none"/>
          <w:u w:val="none"/>
          <w:lang w:val="en-US" w:eastAsia="zh-CN"/>
        </w:rPr>
      </w:pPr>
      <w:r>
        <w:rPr>
          <w:rFonts w:hint="eastAsia" w:ascii="楷体_GB2312" w:hAnsi="宋体" w:eastAsia="楷体_GB2312"/>
          <w:b w:val="0"/>
          <w:bCs w:val="0"/>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建</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lang w:val="zh-CN"/>
        </w:rPr>
        <w:t>健全的内部控制制度，内部控制管理运行有效。</w:t>
      </w:r>
      <w:r>
        <w:rPr>
          <w:rFonts w:hint="eastAsia" w:ascii="仿宋_GB2312" w:hAnsi="仿宋_GB2312" w:eastAsia="仿宋_GB2312" w:cs="仿宋_GB2312"/>
          <w:color w:val="auto"/>
          <w:sz w:val="32"/>
          <w:szCs w:val="32"/>
          <w:lang w:val="en-US" w:eastAsia="zh-CN"/>
        </w:rPr>
        <w:t>项目资金按照统一的</w:t>
      </w:r>
      <w:r>
        <w:rPr>
          <w:rFonts w:hint="eastAsia" w:ascii="仿宋_GB2312" w:hAnsi="仿宋_GB2312" w:eastAsia="仿宋_GB2312" w:cs="仿宋_GB2312"/>
          <w:color w:val="auto"/>
          <w:sz w:val="32"/>
          <w:szCs w:val="32"/>
          <w:lang w:val="zh-CN"/>
        </w:rPr>
        <w:t>财务管理制度</w:t>
      </w:r>
      <w:r>
        <w:rPr>
          <w:rFonts w:hint="eastAsia" w:ascii="仿宋_GB2312" w:hAnsi="仿宋_GB2312" w:eastAsia="仿宋_GB2312" w:cs="仿宋_GB2312"/>
          <w:color w:val="auto"/>
          <w:sz w:val="32"/>
          <w:szCs w:val="32"/>
          <w:lang w:val="en-US" w:eastAsia="zh-CN"/>
        </w:rPr>
        <w:t>进行管理</w:t>
      </w:r>
      <w:r>
        <w:rPr>
          <w:rFonts w:hint="eastAsia" w:ascii="仿宋_GB2312" w:hAnsi="仿宋_GB2312" w:eastAsia="仿宋_GB2312" w:cs="仿宋_GB2312"/>
          <w:color w:val="auto"/>
          <w:sz w:val="32"/>
          <w:szCs w:val="32"/>
          <w:lang w:val="zh-CN"/>
        </w:rPr>
        <w:t>，设</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lang w:val="zh-CN"/>
        </w:rPr>
        <w:t>项目管理机构，会计核算及账务处理</w:t>
      </w:r>
      <w:r>
        <w:rPr>
          <w:rFonts w:hint="eastAsia" w:ascii="仿宋_GB2312" w:hAnsi="仿宋_GB2312" w:eastAsia="仿宋_GB2312" w:cs="仿宋_GB2312"/>
          <w:color w:val="auto"/>
          <w:sz w:val="32"/>
          <w:szCs w:val="32"/>
          <w:lang w:val="en-US" w:eastAsia="zh-CN"/>
        </w:rPr>
        <w:t>准确、规范</w:t>
      </w:r>
      <w:r>
        <w:rPr>
          <w:rFonts w:hint="eastAsia" w:ascii="仿宋_GB2312" w:hAnsi="仿宋_GB2312" w:eastAsia="仿宋_GB2312" w:cs="仿宋_GB2312"/>
          <w:color w:val="auto"/>
          <w:sz w:val="32"/>
          <w:szCs w:val="32"/>
          <w:lang w:val="zh-CN"/>
        </w:rPr>
        <w:t>、专款专用。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175" w:name="_Toc31758"/>
      <w:bookmarkStart w:id="176" w:name="_Toc29116"/>
      <w:bookmarkStart w:id="177" w:name="_Toc26595"/>
      <w:bookmarkStart w:id="178" w:name="_Toc7907"/>
      <w:r>
        <w:rPr>
          <w:rFonts w:hint="eastAsia" w:ascii="黑体" w:hAnsi="宋体" w:eastAsia="黑体"/>
          <w:b w:val="0"/>
          <w:bCs w:val="0"/>
          <w:color w:val="auto"/>
          <w:sz w:val="32"/>
          <w:szCs w:val="32"/>
          <w:highlight w:val="none"/>
          <w:u w:val="none"/>
        </w:rPr>
        <w:t>三、项目实施及管理情况</w:t>
      </w:r>
      <w:bookmarkEnd w:id="175"/>
      <w:bookmarkEnd w:id="176"/>
      <w:bookmarkEnd w:id="177"/>
      <w:bookmarkEnd w:id="178"/>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（一）项目组织架构及实施流程。</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职业能力建设科设</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科长</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1名，工作人员2名。科长负责审核管理项目，工作人员</w:t>
      </w:r>
      <w:r>
        <w:rPr>
          <w:rFonts w:hint="eastAsia" w:ascii="仿宋_GB2312" w:hAnsi="仿宋_GB2312" w:cs="仿宋_GB2312"/>
          <w:b w:val="0"/>
          <w:bCs w:val="0"/>
          <w:color w:val="auto"/>
          <w:kern w:val="0"/>
          <w:sz w:val="32"/>
          <w:szCs w:val="32"/>
          <w:highlight w:val="none"/>
          <w:u w:val="none"/>
          <w:shd w:val="clear" w:color="auto" w:fill="FFFFFF"/>
          <w:lang w:val="en-US" w:eastAsia="zh-CN"/>
        </w:rPr>
        <w:t>负责项目的具体</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仿宋_GB2312" w:eastAsia="仿宋_GB2312"/>
          <w:sz w:val="32"/>
          <w:szCs w:val="32"/>
          <w:lang w:val="en-US" w:eastAsia="zh-CN"/>
        </w:rPr>
      </w:pPr>
      <w:r>
        <w:rPr>
          <w:rFonts w:hint="eastAsia" w:ascii="楷体_GB2312" w:hAnsi="宋体" w:eastAsia="楷体_GB2312"/>
          <w:b w:val="0"/>
          <w:bCs w:val="0"/>
          <w:color w:val="auto"/>
          <w:sz w:val="32"/>
          <w:szCs w:val="32"/>
          <w:highlight w:val="none"/>
          <w:u w:val="none"/>
          <w:lang w:val="zh-CN"/>
        </w:rPr>
        <w:t>（二）项目管理情况。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严格按照相关管理规定，</w:t>
      </w:r>
      <w:r>
        <w:rPr>
          <w:rFonts w:hint="eastAsia" w:ascii="仿宋_GB2312" w:hAnsi="仿宋_GB2312" w:eastAsia="仿宋_GB2312" w:cs="仿宋_GB2312"/>
          <w:sz w:val="32"/>
          <w:szCs w:val="32"/>
        </w:rPr>
        <w:t>组织县区人社部门对文清平等30名广元工匠、向锋等16名广元创业领军人才工作（创业）情况、违法违纪等相关情况</w:t>
      </w:r>
      <w:r>
        <w:rPr>
          <w:rFonts w:hint="eastAsia" w:ascii="仿宋_GB2312" w:hAnsi="仿宋_GB2312" w:eastAsia="仿宋_GB2312" w:cs="仿宋_GB2312"/>
          <w:spacing w:val="-23"/>
          <w:sz w:val="32"/>
          <w:szCs w:val="32"/>
        </w:rPr>
        <w:t>进行了全面</w:t>
      </w:r>
      <w:r>
        <w:rPr>
          <w:rFonts w:hint="eastAsia" w:ascii="仿宋_GB2312" w:hAnsi="仿宋_GB2312" w:eastAsia="仿宋_GB2312" w:cs="仿宋_GB2312"/>
          <w:sz w:val="32"/>
          <w:szCs w:val="32"/>
        </w:rPr>
        <w:t>核实</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w:t>
      </w:r>
      <w:r>
        <w:rPr>
          <w:rFonts w:hint="eastAsia" w:ascii="仿宋_GB2312" w:hAnsi="仿宋_GB2312" w:eastAsia="仿宋_GB2312" w:cs="仿宋_GB2312"/>
          <w:sz w:val="32"/>
          <w:szCs w:val="32"/>
        </w:rPr>
        <w:t>将核实情况报送市委组织部。</w:t>
      </w:r>
      <w:r>
        <w:rPr>
          <w:rFonts w:hint="eastAsia" w:ascii="仿宋_GB2312" w:hAnsi="仿宋_GB2312" w:eastAsia="仿宋_GB2312" w:cs="仿宋_GB2312"/>
          <w:sz w:val="32"/>
          <w:szCs w:val="32"/>
          <w:lang w:val="en-US" w:eastAsia="zh-CN"/>
        </w:rPr>
        <w:t>由市委组织部统一向市财政局申请拨付资金到我局，最终由我局代发。</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仿宋_GB2312" w:eastAsia="仿宋_GB2312"/>
          <w:sz w:val="32"/>
          <w:szCs w:val="32"/>
          <w:lang w:val="en-US" w:eastAsia="zh-CN"/>
        </w:rPr>
      </w:pPr>
      <w:r>
        <w:rPr>
          <w:rFonts w:hint="eastAsia" w:ascii="楷体_GB2312" w:hAnsi="宋体" w:eastAsia="楷体_GB2312"/>
          <w:b w:val="0"/>
          <w:bCs w:val="0"/>
          <w:color w:val="auto"/>
          <w:sz w:val="32"/>
          <w:szCs w:val="32"/>
          <w:highlight w:val="none"/>
          <w:u w:val="none"/>
          <w:lang w:val="zh-CN"/>
        </w:rPr>
        <w:t>（三）项目监管情况。</w:t>
      </w:r>
      <w:r>
        <w:rPr>
          <w:rFonts w:hint="eastAsia" w:ascii="仿宋_GB2312" w:eastAsia="仿宋_GB2312"/>
          <w:sz w:val="32"/>
          <w:szCs w:val="32"/>
          <w:lang w:val="en-US" w:eastAsia="zh-CN"/>
        </w:rPr>
        <w:t>由局务会</w:t>
      </w:r>
      <w:r>
        <w:rPr>
          <w:rFonts w:hint="eastAsia" w:ascii="仿宋_GB2312"/>
          <w:sz w:val="32"/>
          <w:szCs w:val="32"/>
          <w:lang w:val="en-US" w:eastAsia="zh-CN"/>
        </w:rPr>
        <w:t>集中</w:t>
      </w:r>
      <w:r>
        <w:rPr>
          <w:rFonts w:hint="eastAsia" w:ascii="仿宋_GB2312" w:eastAsia="仿宋_GB2312"/>
          <w:sz w:val="32"/>
          <w:szCs w:val="32"/>
          <w:lang w:val="en-US" w:eastAsia="zh-CN"/>
        </w:rPr>
        <w:t>审议</w:t>
      </w:r>
      <w:r>
        <w:rPr>
          <w:rFonts w:hint="eastAsia" w:ascii="仿宋_GB2312" w:eastAsia="仿宋_GB2312"/>
          <w:sz w:val="32"/>
          <w:szCs w:val="32"/>
          <w:lang w:val="zh-CN"/>
        </w:rPr>
        <w:t>《</w:t>
      </w:r>
      <w:r>
        <w:rPr>
          <w:rFonts w:hint="eastAsia" w:ascii="仿宋_GB2312" w:eastAsia="仿宋_GB2312"/>
          <w:sz w:val="32"/>
          <w:szCs w:val="32"/>
        </w:rPr>
        <w:t>关于审议拨付“蜀道英才工程”2022年度岗位激励资金的请示</w:t>
      </w:r>
      <w:r>
        <w:rPr>
          <w:rFonts w:hint="eastAsia" w:ascii="仿宋_GB2312" w:eastAsia="仿宋_GB2312"/>
          <w:sz w:val="32"/>
          <w:szCs w:val="32"/>
          <w:lang w:val="zh-CN"/>
        </w:rPr>
        <w:t>》</w:t>
      </w:r>
      <w:r>
        <w:rPr>
          <w:rFonts w:hint="eastAsia" w:ascii="仿宋_GB2312"/>
          <w:sz w:val="32"/>
          <w:szCs w:val="32"/>
          <w:lang w:val="zh-CN"/>
        </w:rPr>
        <w:t>，</w:t>
      </w:r>
      <w:r>
        <w:rPr>
          <w:rFonts w:hint="eastAsia" w:ascii="仿宋_GB2312" w:eastAsia="仿宋_GB2312"/>
          <w:sz w:val="32"/>
          <w:szCs w:val="32"/>
          <w:lang w:val="en-US" w:eastAsia="zh-CN"/>
        </w:rPr>
        <w:t>加强过程监督。</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仿宋_GB2312" w:hAnsi="宋体"/>
          <w:b w:val="0"/>
          <w:bCs w:val="0"/>
          <w:color w:val="auto"/>
          <w:sz w:val="32"/>
          <w:szCs w:val="32"/>
          <w:highlight w:val="none"/>
          <w:u w:val="none"/>
          <w:lang w:val="zh-CN"/>
        </w:rPr>
      </w:pPr>
      <w:bookmarkStart w:id="179" w:name="_Toc21118"/>
      <w:bookmarkStart w:id="180" w:name="_Toc18735"/>
      <w:bookmarkStart w:id="181" w:name="_Toc31653"/>
      <w:bookmarkStart w:id="182" w:name="_Toc13380"/>
      <w:r>
        <w:rPr>
          <w:rFonts w:hint="eastAsia" w:ascii="黑体" w:hAnsi="宋体" w:eastAsia="黑体"/>
          <w:b w:val="0"/>
          <w:bCs w:val="0"/>
          <w:color w:val="auto"/>
          <w:sz w:val="32"/>
          <w:szCs w:val="32"/>
          <w:highlight w:val="none"/>
          <w:u w:val="none"/>
        </w:rPr>
        <w:t>四、项目绩效情况</w:t>
      </w:r>
      <w:bookmarkEnd w:id="179"/>
      <w:bookmarkEnd w:id="180"/>
      <w:bookmarkEnd w:id="181"/>
      <w:bookmarkEnd w:id="182"/>
      <w:r>
        <w:rPr>
          <w:rFonts w:hint="eastAsia" w:ascii="仿宋_GB2312" w:hAnsi="宋体"/>
          <w:b w:val="0"/>
          <w:bCs w:val="0"/>
          <w:color w:val="auto"/>
          <w:sz w:val="32"/>
          <w:szCs w:val="32"/>
          <w:highlight w:val="none"/>
          <w:u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为46名“蜀道英才工程”入选者按时拨付岗位激励资金，</w:t>
      </w:r>
      <w:r>
        <w:rPr>
          <w:rFonts w:hint="eastAsia" w:ascii="仿宋_GB2312" w:hAnsi="仿宋_GB2312" w:eastAsia="仿宋_GB2312" w:cs="仿宋_GB2312"/>
          <w:sz w:val="32"/>
          <w:szCs w:val="32"/>
        </w:rPr>
        <w:t>29名广元工匠岗位激励资金，共计18万元（含补发</w:t>
      </w:r>
      <w:r>
        <w:rPr>
          <w:rFonts w:hint="eastAsia" w:ascii="仿宋_GB2312" w:hAnsi="仿宋_GB2312" w:eastAsia="仿宋_GB2312" w:cs="仿宋_GB2312"/>
          <w:sz w:val="32"/>
          <w:szCs w:val="32"/>
          <w:lang w:val="en-US" w:eastAsia="zh-CN"/>
        </w:rPr>
        <w:t>王用祥2020年度岗位激励资金</w:t>
      </w:r>
      <w:r>
        <w:rPr>
          <w:rFonts w:hint="eastAsia" w:ascii="仿宋_GB2312" w:hAnsi="仿宋_GB2312" w:eastAsia="仿宋_GB2312" w:cs="仿宋_GB2312"/>
          <w:sz w:val="32"/>
          <w:szCs w:val="32"/>
        </w:rPr>
        <w:t>6000元）；16名广元创业领军人才岗位激励资金，共计9.6万元。以上资金共计27.6万元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通过保障岗位激励资金，增强了各类人才的获得感、归宿感、幸福感，调动各类优秀人才干事创业积极性力度，提高各类优秀人才满意度。</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183" w:name="_Toc11091"/>
      <w:bookmarkStart w:id="184" w:name="_Toc377"/>
      <w:bookmarkStart w:id="185" w:name="_Toc15377"/>
      <w:bookmarkStart w:id="186" w:name="_Toc14529"/>
      <w:r>
        <w:rPr>
          <w:rFonts w:hint="eastAsia" w:ascii="黑体" w:hAnsi="宋体" w:eastAsia="黑体"/>
          <w:b w:val="0"/>
          <w:bCs w:val="0"/>
          <w:color w:val="auto"/>
          <w:sz w:val="32"/>
          <w:szCs w:val="32"/>
          <w:highlight w:val="none"/>
          <w:u w:val="none"/>
        </w:rPr>
        <w:t>五、评价结论及建议</w:t>
      </w:r>
      <w:bookmarkEnd w:id="183"/>
      <w:bookmarkEnd w:id="184"/>
      <w:bookmarkEnd w:id="185"/>
      <w:bookmarkEnd w:id="186"/>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按时拨付“蜀道英才工程”入选者的岗位激励资金，增强了各类人才的获得感、归宿感、幸福感，调动各类优秀人才干事创业积极性力度，提高各类优秀人才满意度，总体评价得100分。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cs="仿宋_GB2312"/>
          <w:b w:val="0"/>
          <w:bCs w:val="0"/>
          <w:color w:val="auto"/>
          <w:kern w:val="0"/>
          <w:sz w:val="32"/>
          <w:szCs w:val="32"/>
          <w:highlight w:val="none"/>
          <w:u w:val="none"/>
          <w:shd w:val="clear" w:color="auto" w:fill="FFFFFF"/>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cs="仿宋_GB2312"/>
          <w:b w:val="0"/>
          <w:bCs w:val="0"/>
          <w:color w:val="auto"/>
          <w:kern w:val="0"/>
          <w:sz w:val="32"/>
          <w:szCs w:val="32"/>
          <w:highlight w:val="none"/>
          <w:u w:val="none"/>
          <w:shd w:val="clear" w:color="auto" w:fill="FFFFFF"/>
          <w:lang w:val="en-US" w:eastAsia="zh-CN"/>
        </w:rPr>
        <w:t>无。</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default"/>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2023年专项资金预算项目绩效自评报告四</w:t>
      </w:r>
    </w:p>
    <w:p>
      <w:pPr>
        <w:spacing w:line="550" w:lineRule="exact"/>
        <w:jc w:val="center"/>
        <w:rPr>
          <w:rFonts w:hint="eastAsia" w:ascii="方正小标宋简体" w:eastAsia="方正小标宋简体"/>
          <w:b w:val="0"/>
          <w:bCs w:val="0"/>
          <w:sz w:val="44"/>
          <w:szCs w:val="44"/>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赴成都开展人才引进宣讲活动经费</w:t>
      </w:r>
      <w:r>
        <w:rPr>
          <w:rFonts w:hint="eastAsia" w:ascii="仿宋_GB2312" w:hAnsi="仿宋_GB2312" w:eastAsia="仿宋_GB2312" w:cs="仿宋_GB2312"/>
          <w:b w:val="0"/>
          <w:bCs w:val="0"/>
          <w:sz w:val="32"/>
          <w:szCs w:val="32"/>
          <w:lang w:eastAsia="zh-CN"/>
        </w:rPr>
        <w:t>）</w:t>
      </w:r>
    </w:p>
    <w:p>
      <w:pPr>
        <w:pStyle w:val="15"/>
        <w:rPr>
          <w:rFonts w:hint="default"/>
          <w:lang w:val="en-US" w:eastAsia="zh-CN"/>
        </w:rPr>
      </w:pPr>
    </w:p>
    <w:p>
      <w:pPr>
        <w:spacing w:line="550" w:lineRule="exact"/>
        <w:ind w:firstLine="643" w:firstLineChars="200"/>
        <w:outlineLvl w:val="1"/>
        <w:rPr>
          <w:rFonts w:hint="eastAsia" w:ascii="黑体" w:hAnsi="黑体" w:eastAsia="黑体" w:cs="黑体"/>
          <w:b/>
          <w:bCs/>
          <w:sz w:val="32"/>
          <w:szCs w:val="32"/>
          <w:lang w:val="zh-CN"/>
        </w:rPr>
      </w:pPr>
      <w:bookmarkStart w:id="187" w:name="_Toc31818"/>
      <w:bookmarkStart w:id="188" w:name="_Toc24160"/>
      <w:bookmarkStart w:id="189" w:name="_Toc12504"/>
      <w:bookmarkStart w:id="190" w:name="_Toc23344"/>
      <w:r>
        <w:rPr>
          <w:rFonts w:hint="eastAsia" w:ascii="黑体" w:hAnsi="黑体" w:eastAsia="黑体" w:cs="黑体"/>
          <w:b/>
          <w:bCs/>
          <w:sz w:val="32"/>
          <w:szCs w:val="32"/>
        </w:rPr>
        <w:t>一、</w:t>
      </w:r>
      <w:r>
        <w:rPr>
          <w:rFonts w:hint="eastAsia" w:ascii="黑体" w:hAnsi="黑体" w:eastAsia="黑体" w:cs="黑体"/>
          <w:b/>
          <w:bCs/>
          <w:sz w:val="32"/>
          <w:szCs w:val="32"/>
          <w:lang w:val="zh-CN"/>
        </w:rPr>
        <w:t>项目概况</w:t>
      </w:r>
      <w:bookmarkEnd w:id="187"/>
      <w:bookmarkEnd w:id="188"/>
      <w:bookmarkEnd w:id="189"/>
      <w:bookmarkEnd w:id="190"/>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lang w:val="en-US" w:eastAsia="zh-CN"/>
        </w:rPr>
      </w:pPr>
      <w:r>
        <w:rPr>
          <w:rFonts w:hint="eastAsia" w:ascii="仿宋_GB2312" w:hAnsi="Times New Roman" w:eastAsia="仿宋_GB2312" w:cs="Times New Roman"/>
          <w:sz w:val="32"/>
          <w:szCs w:val="32"/>
        </w:rPr>
        <w:t>为深入贯彻落实中央人才工作会议精神、市第八次党代会精神</w:t>
      </w:r>
      <w:r>
        <w:rPr>
          <w:rFonts w:hint="eastAsia" w:ascii="仿宋_GB2312" w:hAnsi="Times New Roman" w:eastAsia="仿宋_GB2312" w:cs="Times New Roman"/>
          <w:sz w:val="32"/>
          <w:szCs w:val="32"/>
          <w:lang w:eastAsia="zh-CN"/>
        </w:rPr>
        <w:t>中</w:t>
      </w:r>
      <w:r>
        <w:rPr>
          <w:rFonts w:hint="eastAsia" w:ascii="仿宋_GB2312" w:hAnsi="Times New Roman" w:eastAsia="仿宋_GB2312" w:cs="Times New Roman"/>
          <w:sz w:val="32"/>
          <w:szCs w:val="32"/>
        </w:rPr>
        <w:t>加大人才引进力度</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要求</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2021年12月16日-17日，我市在成都理工大学组织开展了2021年度高层次人才引进宣讲活动，与成都理工大学、西南交通大学分别召开战略合作座谈会，签订了战略合作协议，整体活动取得圆满成功。</w:t>
      </w:r>
      <w:r>
        <w:rPr>
          <w:rFonts w:hint="eastAsia" w:ascii="仿宋_GB2312" w:hAnsi="Times New Roman" w:eastAsia="仿宋_GB2312" w:cs="Times New Roman"/>
          <w:sz w:val="32"/>
          <w:szCs w:val="32"/>
          <w:lang w:val="zh-CN" w:eastAsia="zh-CN"/>
        </w:rPr>
        <w:t>我市作为贫困地区经济文化基础相对滞后，</w:t>
      </w:r>
      <w:r>
        <w:rPr>
          <w:rFonts w:hint="eastAsia" w:ascii="仿宋_GB2312" w:hAnsi="Times New Roman" w:eastAsia="仿宋_GB2312" w:cs="Times New Roman"/>
          <w:sz w:val="32"/>
          <w:szCs w:val="32"/>
          <w:lang w:val="zh-CN"/>
        </w:rPr>
        <w:t>精准招引一批急需紧缺高素质专业人才，造就规模宏大的高层次创新创业人才队伍，打造人才高地助力经济建设至关重要。但我市</w:t>
      </w:r>
      <w:r>
        <w:rPr>
          <w:rFonts w:hint="eastAsia" w:ascii="仿宋_GB2312" w:hAnsi="Times New Roman" w:eastAsia="仿宋_GB2312" w:cs="Times New Roman"/>
          <w:sz w:val="32"/>
          <w:szCs w:val="32"/>
          <w:lang w:val="zh-CN" w:eastAsia="zh-CN"/>
        </w:rPr>
        <w:t>对人才的吸引力先天性不优，唯有制定更加优惠的政策，同时大力进行宣讲，方能吸引更多高层次人才来广创业发展。</w:t>
      </w:r>
      <w:r>
        <w:rPr>
          <w:rFonts w:hint="eastAsia" w:ascii="仿宋_GB2312" w:hAnsi="Times New Roman" w:eastAsia="仿宋_GB2312" w:cs="Times New Roman"/>
          <w:sz w:val="32"/>
          <w:szCs w:val="32"/>
          <w:highlight w:val="none"/>
          <w:lang w:val="en-US" w:eastAsia="zh-CN"/>
        </w:rPr>
        <w:t>本次宣讲活动统一开支24.4366万元。根据市领导对《关于开展2021年“广纳英才·元来有你”引才月系列活动的请示》的批示精神，所需经费在市人才专项资金中解决。</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赴成都开展宣讲活动1次，预计引进高层次人才130人。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楷体_GB2312" w:hAnsi="宋体" w:eastAsia="楷体_GB2312" w:cs="Times New Roman"/>
          <w:b w:val="0"/>
          <w:bCs w:val="0"/>
          <w:color w:val="auto"/>
          <w:sz w:val="32"/>
          <w:szCs w:val="32"/>
          <w:highlight w:val="none"/>
          <w:u w:val="none"/>
          <w:lang w:val="zh-CN"/>
        </w:rPr>
      </w:pPr>
      <w:r>
        <w:rPr>
          <w:rFonts w:hint="eastAsia" w:ascii="楷体_GB2312" w:hAnsi="宋体" w:eastAsia="楷体_GB2312" w:cs="Times New Roman"/>
          <w:b w:val="0"/>
          <w:bCs w:val="0"/>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一是加强统筹，成立以专业技术人员管理科科长为组长，科室其余人员为成员的自评工作组。二是组织实施，通过查阅资料、审核票据，看有无虚列支出、票据不规范的情况。三是考评结果，通过自评，得出考评分值，并查找问题，分析原因，提出整改意见。</w:t>
      </w:r>
    </w:p>
    <w:p>
      <w:pPr>
        <w:keepNext w:val="0"/>
        <w:keepLines w:val="0"/>
        <w:pageBreakBefore w:val="0"/>
        <w:widowControl w:val="0"/>
        <w:numPr>
          <w:ilvl w:val="0"/>
          <w:numId w:val="13"/>
        </w:numPr>
        <w:kinsoku/>
        <w:wordWrap/>
        <w:overflowPunct/>
        <w:topLinePunct w:val="0"/>
        <w:autoSpaceDE/>
        <w:autoSpaceDN/>
        <w:bidi w:val="0"/>
        <w:adjustRightInd w:val="0"/>
        <w:snapToGrid w:val="0"/>
        <w:spacing w:line="576" w:lineRule="exact"/>
        <w:ind w:firstLine="640" w:firstLineChars="200"/>
        <w:jc w:val="both"/>
        <w:textAlignment w:val="auto"/>
        <w:outlineLvl w:val="1"/>
        <w:rPr>
          <w:rFonts w:hint="eastAsia" w:ascii="黑体" w:hAnsi="宋体" w:eastAsia="黑体"/>
          <w:b w:val="0"/>
          <w:bCs w:val="0"/>
          <w:color w:val="auto"/>
          <w:sz w:val="32"/>
          <w:szCs w:val="32"/>
          <w:highlight w:val="none"/>
          <w:u w:val="none"/>
        </w:rPr>
      </w:pPr>
      <w:bookmarkStart w:id="191" w:name="_Toc10954"/>
      <w:bookmarkStart w:id="192" w:name="_Toc5047"/>
      <w:bookmarkStart w:id="193" w:name="_Toc14837"/>
      <w:bookmarkStart w:id="194" w:name="_Toc16380"/>
      <w:r>
        <w:rPr>
          <w:rFonts w:hint="eastAsia" w:ascii="黑体" w:hAnsi="宋体" w:eastAsia="黑体"/>
          <w:b w:val="0"/>
          <w:bCs w:val="0"/>
          <w:color w:val="auto"/>
          <w:sz w:val="32"/>
          <w:szCs w:val="32"/>
          <w:highlight w:val="none"/>
          <w:u w:val="none"/>
        </w:rPr>
        <w:t>项目资金申报及使用情况</w:t>
      </w:r>
      <w:bookmarkEnd w:id="191"/>
      <w:bookmarkEnd w:id="192"/>
      <w:bookmarkEnd w:id="193"/>
      <w:bookmarkEnd w:id="194"/>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楷体_GB2312" w:hAnsi="宋体" w:eastAsia="楷体_GB2312"/>
          <w:b w:val="0"/>
          <w:bCs w:val="0"/>
          <w:color w:val="0070C0"/>
          <w:sz w:val="32"/>
          <w:szCs w:val="32"/>
          <w:highlight w:val="none"/>
          <w:u w:val="none"/>
          <w:lang w:val="zh-CN"/>
        </w:rPr>
      </w:pPr>
      <w:r>
        <w:rPr>
          <w:rFonts w:hint="eastAsia" w:ascii="楷体_GB2312" w:hAnsi="宋体" w:eastAsia="楷体_GB2312" w:cs="Times New Roman"/>
          <w:b w:val="0"/>
          <w:bCs w:val="0"/>
          <w:color w:val="auto"/>
          <w:sz w:val="32"/>
          <w:szCs w:val="32"/>
          <w:highlight w:val="none"/>
          <w:u w:val="none"/>
          <w:lang w:val="zh-CN"/>
        </w:rPr>
        <w:t>（一）项目资金申报及批复情况。</w:t>
      </w:r>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bidi="ar-SA"/>
        </w:rPr>
        <w:t>申报项目资金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24</w:t>
      </w:r>
      <w:r>
        <w:rPr>
          <w:rFonts w:hint="eastAsia" w:hAnsi="仿宋_GB2312" w:eastAsia="仿宋_GB2312" w:cs="仿宋_GB2312"/>
          <w:b w:val="0"/>
          <w:bCs w:val="0"/>
          <w:color w:val="auto"/>
          <w:kern w:val="0"/>
          <w:sz w:val="32"/>
          <w:szCs w:val="32"/>
          <w:highlight w:val="none"/>
          <w:u w:val="none"/>
          <w:shd w:val="clear" w:color="auto" w:fill="FFFFFF"/>
          <w:lang w:val="en-US" w:eastAsia="zh-CN" w:bidi="ar-SA"/>
        </w:rPr>
        <w:t>.</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4366</w:t>
      </w:r>
      <w:r>
        <w:rPr>
          <w:rFonts w:hint="eastAsia" w:hAnsi="仿宋_GB2312" w:eastAsia="仿宋_GB2312" w:cs="仿宋_GB2312"/>
          <w:b w:val="0"/>
          <w:bCs w:val="0"/>
          <w:color w:val="auto"/>
          <w:kern w:val="0"/>
          <w:sz w:val="32"/>
          <w:szCs w:val="32"/>
          <w:highlight w:val="none"/>
          <w:u w:val="none"/>
          <w:shd w:val="clear" w:color="auto" w:fill="FFFFFF"/>
          <w:lang w:val="en-US" w:eastAsia="zh-CN" w:bidi="ar-SA"/>
        </w:rPr>
        <w:t>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元，批复24</w:t>
      </w:r>
      <w:r>
        <w:rPr>
          <w:rFonts w:hint="eastAsia" w:hAnsi="仿宋_GB2312" w:eastAsia="仿宋_GB2312" w:cs="仿宋_GB2312"/>
          <w:b w:val="0"/>
          <w:bCs w:val="0"/>
          <w:color w:val="auto"/>
          <w:kern w:val="0"/>
          <w:sz w:val="32"/>
          <w:szCs w:val="32"/>
          <w:highlight w:val="none"/>
          <w:u w:val="none"/>
          <w:shd w:val="clear" w:color="auto" w:fill="FFFFFF"/>
          <w:lang w:val="en-US" w:eastAsia="zh-CN" w:bidi="ar-SA"/>
        </w:rPr>
        <w:t>.</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4366</w:t>
      </w:r>
      <w:r>
        <w:rPr>
          <w:rFonts w:hint="eastAsia" w:hAnsi="仿宋_GB2312" w:eastAsia="仿宋_GB2312" w:cs="仿宋_GB2312"/>
          <w:b w:val="0"/>
          <w:bCs w:val="0"/>
          <w:color w:val="auto"/>
          <w:kern w:val="0"/>
          <w:sz w:val="32"/>
          <w:szCs w:val="32"/>
          <w:highlight w:val="none"/>
          <w:u w:val="none"/>
          <w:shd w:val="clear" w:color="auto" w:fill="FFFFFF"/>
          <w:lang w:val="en-US" w:eastAsia="zh-CN" w:bidi="ar-SA"/>
        </w:rPr>
        <w:t>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元，未调整预算。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outlineLvl w:val="2"/>
        <w:rPr>
          <w:rFonts w:hint="default" w:eastAsia="宋体"/>
          <w:lang w:val="en-US" w:eastAsia="zh-CN"/>
        </w:rPr>
      </w:pPr>
      <w:r>
        <w:rPr>
          <w:rFonts w:hint="eastAsia" w:ascii="楷体_GB2312" w:hAnsi="宋体" w:eastAsia="楷体_GB2312"/>
          <w:b w:val="0"/>
          <w:bCs w:val="0"/>
          <w:color w:val="auto"/>
          <w:sz w:val="32"/>
          <w:szCs w:val="32"/>
          <w:highlight w:val="none"/>
          <w:u w:val="none"/>
          <w:lang w:val="zh-CN"/>
        </w:rPr>
        <w:t>（</w:t>
      </w:r>
      <w:r>
        <w:rPr>
          <w:rFonts w:hint="eastAsia" w:ascii="楷体_GB2312" w:hAnsi="宋体" w:eastAsia="楷体_GB2312"/>
          <w:b w:val="0"/>
          <w:bCs w:val="0"/>
          <w:color w:val="auto"/>
          <w:sz w:val="32"/>
          <w:szCs w:val="32"/>
          <w:highlight w:val="none"/>
          <w:u w:val="none"/>
          <w:lang w:val="en-US" w:eastAsia="zh-CN"/>
        </w:rPr>
        <w:t>二</w:t>
      </w:r>
      <w:r>
        <w:rPr>
          <w:rFonts w:hint="eastAsia" w:ascii="楷体_GB2312" w:hAnsi="宋体" w:eastAsia="楷体_GB2312"/>
          <w:b w:val="0"/>
          <w:bCs w:val="0"/>
          <w:color w:val="auto"/>
          <w:sz w:val="32"/>
          <w:szCs w:val="32"/>
          <w:highlight w:val="none"/>
          <w:u w:val="none"/>
          <w:lang w:val="zh-CN"/>
        </w:rPr>
        <w:t>）资金计划、到位及使用情况。</w:t>
      </w:r>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default" w:ascii="仿宋_GB2312" w:hAnsi="仿宋_GB2312" w:eastAsia="仿宋_GB2312" w:cs="仿宋_GB2312"/>
          <w:b w:val="0"/>
          <w:bCs w:val="0"/>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市财政通过追加预算下达资金计划24.4366万元</w:t>
      </w:r>
      <w:r>
        <w:rPr>
          <w:rFonts w:hint="eastAsia" w:hAnsi="仿宋_GB2312" w:eastAsia="仿宋_GB2312" w:cs="仿宋_GB2312"/>
          <w:b w:val="0"/>
          <w:bCs w:val="0"/>
          <w:color w:val="auto"/>
          <w:kern w:val="0"/>
          <w:sz w:val="32"/>
          <w:szCs w:val="32"/>
          <w:highlight w:val="none"/>
          <w:u w:val="none"/>
          <w:shd w:val="clear" w:color="auto" w:fill="FFFFFF"/>
          <w:lang w:val="en-US" w:eastAsia="zh-CN" w:bidi="ar-SA"/>
        </w:rPr>
        <w:t>，到位24.4366万元，到位率100%，截至评价日已使用24.4366万元，预算执行率100%。</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195" w:name="_Toc2747"/>
      <w:bookmarkStart w:id="196" w:name="_Toc27423"/>
      <w:bookmarkStart w:id="197" w:name="_Toc8339"/>
      <w:bookmarkStart w:id="198" w:name="_Toc26193"/>
      <w:r>
        <w:rPr>
          <w:rFonts w:hint="eastAsia" w:ascii="黑体" w:hAnsi="宋体" w:eastAsia="黑体"/>
          <w:b w:val="0"/>
          <w:bCs w:val="0"/>
          <w:color w:val="auto"/>
          <w:sz w:val="32"/>
          <w:szCs w:val="32"/>
          <w:highlight w:val="none"/>
          <w:u w:val="none"/>
        </w:rPr>
        <w:t>三、项目实施及管理情况</w:t>
      </w:r>
      <w:bookmarkEnd w:id="195"/>
      <w:bookmarkEnd w:id="196"/>
      <w:bookmarkEnd w:id="197"/>
      <w:bookmarkEnd w:id="198"/>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hAnsi="仿宋_GB2312" w:eastAsia="仿宋_GB2312" w:cs="仿宋_GB2312"/>
          <w:sz w:val="32"/>
          <w:szCs w:val="32"/>
          <w:lang w:val="en-US" w:eastAsia="zh-CN"/>
        </w:rPr>
        <w:t>在项目实施过程中，由专人全程跟踪监督，项目实施严格按照计划进行，资金结算</w:t>
      </w:r>
      <w:r>
        <w:rPr>
          <w:rFonts w:hint="eastAsia" w:ascii="仿宋_GB2312" w:hAnsi="仿宋_GB2312" w:eastAsia="仿宋_GB2312" w:cs="仿宋_GB2312"/>
          <w:sz w:val="32"/>
          <w:szCs w:val="32"/>
        </w:rPr>
        <w:t>根据《中华人民共和国预算法》等制度要求对项目实行了国库集中支付，资金支出严格依据相关财务制度和预算标准执行，资金使用合法合规，财务信息真实完整，坚持了厉行节约，不存在资金截留、挤占和挪用现象。</w:t>
      </w:r>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outlineLvl w:val="1"/>
        <w:rPr>
          <w:rFonts w:hint="eastAsia" w:ascii="黑体" w:hAnsi="宋体" w:eastAsia="黑体"/>
          <w:b w:val="0"/>
          <w:bCs w:val="0"/>
          <w:color w:val="auto"/>
          <w:sz w:val="32"/>
          <w:szCs w:val="32"/>
          <w:highlight w:val="none"/>
          <w:u w:val="none"/>
        </w:rPr>
      </w:pPr>
      <w:r>
        <w:rPr>
          <w:rFonts w:hint="eastAsia" w:ascii="仿宋_GB2312" w:hAnsi="仿宋_GB2312" w:eastAsia="仿宋_GB2312" w:cs="仿宋_GB2312"/>
          <w:sz w:val="32"/>
          <w:szCs w:val="32"/>
          <w:lang w:val="en-US" w:eastAsia="zh-CN"/>
        </w:rPr>
        <w:t xml:space="preserve">    </w:t>
      </w:r>
      <w:bookmarkStart w:id="199" w:name="_Toc25693"/>
      <w:bookmarkStart w:id="200" w:name="_Toc21071"/>
      <w:bookmarkStart w:id="201" w:name="_Toc19837"/>
      <w:bookmarkStart w:id="202" w:name="_Toc10644"/>
      <w:r>
        <w:rPr>
          <w:rFonts w:hint="eastAsia" w:ascii="黑体" w:hAnsi="宋体" w:eastAsia="黑体"/>
          <w:b w:val="0"/>
          <w:bCs w:val="0"/>
          <w:color w:val="auto"/>
          <w:sz w:val="32"/>
          <w:szCs w:val="32"/>
          <w:highlight w:val="none"/>
          <w:u w:val="none"/>
        </w:rPr>
        <w:t>四、项目绩效情况</w:t>
      </w:r>
      <w:bookmarkEnd w:id="199"/>
      <w:bookmarkEnd w:id="200"/>
      <w:bookmarkEnd w:id="201"/>
      <w:bookmarkEnd w:id="202"/>
    </w:p>
    <w:p>
      <w:pPr>
        <w:keepNext w:val="0"/>
        <w:keepLines w:val="0"/>
        <w:pageBreakBefore w:val="0"/>
        <w:widowControl w:val="0"/>
        <w:numPr>
          <w:ilvl w:val="0"/>
          <w:numId w:val="14"/>
        </w:numPr>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顺利赴成都开展宣讲活动1次，</w:t>
      </w:r>
      <w:r>
        <w:rPr>
          <w:rFonts w:hint="eastAsia" w:ascii="仿宋_GB2312" w:eastAsia="仿宋_GB2312" w:cs="Times New Roman"/>
          <w:sz w:val="32"/>
          <w:szCs w:val="32"/>
          <w:lang w:val="en-US" w:eastAsia="zh-CN"/>
        </w:rPr>
        <w:t>宣讲</w:t>
      </w:r>
      <w:r>
        <w:rPr>
          <w:rFonts w:hint="eastAsia" w:ascii="仿宋_GB2312" w:hAnsi="Times New Roman" w:eastAsia="仿宋_GB2312" w:cs="Times New Roman"/>
          <w:sz w:val="32"/>
          <w:szCs w:val="32"/>
          <w:lang w:val="en-US" w:eastAsia="zh-CN"/>
        </w:rPr>
        <w:t>活动当天，共提供岗位1780个，岗位专业设置紧紧围绕“四大经济”“四大工程”发展需要，涵盖事业单位、国有企业、非公企业等各个领域。活动现场接收简历847份、接受咨询700余人次、求职登记387人、初步达成意向265人。宣讲会同步进行网络直播，在线观看5000余人次。</w:t>
      </w:r>
      <w:r>
        <w:rPr>
          <w:rFonts w:hint="eastAsia" w:ascii="仿宋_GB2312" w:eastAsia="仿宋_GB2312" w:cs="Times New Roman"/>
          <w:sz w:val="32"/>
          <w:szCs w:val="32"/>
          <w:lang w:val="en-US" w:eastAsia="zh-CN"/>
        </w:rPr>
        <w:t>最终</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引进高层次人才113人。</w:t>
      </w:r>
    </w:p>
    <w:p>
      <w:pPr>
        <w:pStyle w:val="15"/>
        <w:keepNext w:val="0"/>
        <w:keepLines w:val="0"/>
        <w:pageBreakBefore w:val="0"/>
        <w:widowControl w:val="0"/>
        <w:numPr>
          <w:ilvl w:val="0"/>
          <w:numId w:val="14"/>
        </w:numPr>
        <w:kinsoku/>
        <w:wordWrap/>
        <w:overflowPunct/>
        <w:topLinePunct w:val="0"/>
        <w:autoSpaceDE/>
        <w:autoSpaceDN/>
        <w:bidi w:val="0"/>
        <w:spacing w:line="576" w:lineRule="exact"/>
        <w:ind w:left="0" w:leftChars="0" w:firstLine="640" w:firstLineChars="200"/>
        <w:textAlignment w:val="auto"/>
        <w:outlineLvl w:val="2"/>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楷体_GB2312" w:hAnsi="宋体" w:eastAsia="楷体_GB2312"/>
          <w:b w:val="0"/>
          <w:bCs w:val="0"/>
          <w:color w:val="auto"/>
          <w:sz w:val="32"/>
          <w:szCs w:val="32"/>
          <w:highlight w:val="none"/>
          <w:u w:val="none"/>
          <w:lang w:val="zh-CN"/>
        </w:rPr>
        <w:t>项目效益情况。</w:t>
      </w:r>
    </w:p>
    <w:p>
      <w:pPr>
        <w:pStyle w:val="15"/>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eastAsia="仿宋_GB2312" w:cs="仿宋_GB2312"/>
          <w:spacing w:val="4"/>
          <w:sz w:val="32"/>
          <w:szCs w:val="32"/>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大力宣传广元市情及引才政策，使越来越多的人才更加向往广元，为全市引进紧缺急需的高层次人才。</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引进人才在市委、市政府及各用人单位培养培训下，发挥着越来越重要作用，有的担任党政领导职务，有的成为教学和科研领域的骨干力量，有效增强了全市可持续发展的后劲和动力。同时，通过各类平台大力宣传广元市情及引才政策，我市尊重知识、重视人才的对外形象不断巩固，对高层次人才的吸引力不断增强，构成一个良性循环。</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03" w:name="_Toc1800"/>
      <w:bookmarkStart w:id="204" w:name="_Toc32225"/>
      <w:bookmarkStart w:id="205" w:name="_Toc8866"/>
      <w:bookmarkStart w:id="206" w:name="_Toc31234"/>
      <w:r>
        <w:rPr>
          <w:rFonts w:hint="eastAsia" w:ascii="黑体" w:hAnsi="宋体" w:eastAsia="黑体"/>
          <w:b w:val="0"/>
          <w:bCs w:val="0"/>
          <w:color w:val="auto"/>
          <w:sz w:val="32"/>
          <w:szCs w:val="32"/>
          <w:highlight w:val="none"/>
          <w:u w:val="none"/>
        </w:rPr>
        <w:t>五、评价结论及建议</w:t>
      </w:r>
      <w:bookmarkEnd w:id="203"/>
      <w:bookmarkEnd w:id="204"/>
      <w:bookmarkEnd w:id="205"/>
      <w:bookmarkEnd w:id="206"/>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Calibri" w:eastAsia="仿宋_GB2312" w:cs="仿宋_GB2312"/>
          <w:sz w:val="32"/>
          <w:szCs w:val="32"/>
        </w:rPr>
      </w:pPr>
      <w:r>
        <w:rPr>
          <w:rFonts w:hint="eastAsia" w:ascii="仿宋_GB2312" w:hAnsi="Calibri" w:eastAsia="仿宋_GB2312" w:cs="仿宋_GB2312"/>
          <w:sz w:val="32"/>
          <w:szCs w:val="32"/>
        </w:rPr>
        <w:t>高层次人才引进力度需要进一步提高，人才引进经费涉及赴外宣讲、考核招聘等工作，任务重，经费较为紧张。</w:t>
      </w:r>
      <w:r>
        <w:rPr>
          <w:rFonts w:hint="eastAsia" w:ascii="仿宋_GB2312" w:eastAsia="仿宋_GB2312" w:cs="仿宋_GB2312"/>
          <w:sz w:val="32"/>
          <w:szCs w:val="32"/>
        </w:rPr>
        <w:t>提高我市</w:t>
      </w:r>
      <w:r>
        <w:rPr>
          <w:rFonts w:hint="eastAsia" w:ascii="仿宋_GB2312" w:hAnsi="Calibri" w:eastAsia="仿宋_GB2312" w:cs="仿宋_GB2312"/>
          <w:sz w:val="32"/>
          <w:szCs w:val="32"/>
        </w:rPr>
        <w:t>高层次人才引进调研等相关工作经费，为人才引进提供资金保障。确保各项工作顺利开展。</w:t>
      </w:r>
    </w:p>
    <w:p>
      <w:pPr>
        <w:keepNext w:val="0"/>
        <w:keepLines w:val="0"/>
        <w:pageBreakBefore w:val="0"/>
        <w:widowControl w:val="0"/>
        <w:kinsoku/>
        <w:wordWrap/>
        <w:overflowPunct/>
        <w:topLinePunct w:val="0"/>
        <w:autoSpaceDE/>
        <w:autoSpaceDN/>
        <w:bidi w:val="0"/>
        <w:spacing w:line="576" w:lineRule="exact"/>
        <w:textAlignment w:val="auto"/>
      </w:pPr>
      <w:r>
        <w:br w:type="page"/>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default"/>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2023年专项资金预算项目绩效自评报告五</w:t>
      </w:r>
    </w:p>
    <w:p>
      <w:pPr>
        <w:spacing w:line="550" w:lineRule="exact"/>
        <w:jc w:val="cente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市政府专家津贴及补贴</w:t>
      </w:r>
      <w:r>
        <w:rPr>
          <w:rFonts w:hint="eastAsia" w:ascii="仿宋_GB2312" w:hAnsi="仿宋_GB2312" w:eastAsia="仿宋_GB2312" w:cs="仿宋_GB2312"/>
          <w:b w:val="0"/>
          <w:bCs w:val="0"/>
          <w:sz w:val="32"/>
          <w:szCs w:val="32"/>
          <w:lang w:eastAsia="zh-CN"/>
        </w:rPr>
        <w:t>）</w:t>
      </w:r>
    </w:p>
    <w:p>
      <w:pPr>
        <w:pStyle w:val="15"/>
        <w:keepNext w:val="0"/>
        <w:keepLines w:val="0"/>
        <w:pageBreakBefore w:val="0"/>
        <w:widowControl w:val="0"/>
        <w:kinsoku/>
        <w:wordWrap/>
        <w:overflowPunct/>
        <w:topLinePunct w:val="0"/>
        <w:autoSpaceDE/>
        <w:autoSpaceDN/>
        <w:bidi w:val="0"/>
        <w:spacing w:line="576" w:lineRule="exact"/>
        <w:textAlignment w:val="auto"/>
        <w:rPr>
          <w:rFonts w:hint="eastAsia"/>
          <w:lang w:eastAsia="zh-CN"/>
        </w:rPr>
      </w:pPr>
    </w:p>
    <w:p>
      <w:pPr>
        <w:keepNext w:val="0"/>
        <w:keepLines w:val="0"/>
        <w:pageBreakBefore w:val="0"/>
        <w:widowControl w:val="0"/>
        <w:kinsoku/>
        <w:wordWrap/>
        <w:overflowPunct/>
        <w:topLinePunct w:val="0"/>
        <w:autoSpaceDE/>
        <w:autoSpaceDN/>
        <w:bidi w:val="0"/>
        <w:spacing w:line="576" w:lineRule="exact"/>
        <w:ind w:firstLine="643" w:firstLineChars="200"/>
        <w:textAlignment w:val="auto"/>
        <w:outlineLvl w:val="1"/>
        <w:rPr>
          <w:rFonts w:hint="eastAsia" w:ascii="黑体" w:hAnsi="黑体" w:eastAsia="黑体" w:cs="黑体"/>
          <w:b/>
          <w:bCs/>
          <w:sz w:val="32"/>
          <w:szCs w:val="32"/>
          <w:lang w:val="zh-CN"/>
        </w:rPr>
      </w:pPr>
      <w:bookmarkStart w:id="207" w:name="_Toc14367"/>
      <w:bookmarkStart w:id="208" w:name="_Toc7613"/>
      <w:bookmarkStart w:id="209" w:name="_Toc30133"/>
      <w:bookmarkStart w:id="210" w:name="_Toc25763"/>
      <w:r>
        <w:rPr>
          <w:rFonts w:hint="eastAsia" w:ascii="黑体" w:hAnsi="黑体" w:eastAsia="黑体" w:cs="黑体"/>
          <w:b/>
          <w:bCs/>
          <w:sz w:val="32"/>
          <w:szCs w:val="32"/>
        </w:rPr>
        <w:t>一、</w:t>
      </w:r>
      <w:r>
        <w:rPr>
          <w:rFonts w:hint="eastAsia" w:ascii="黑体" w:hAnsi="黑体" w:eastAsia="黑体" w:cs="黑体"/>
          <w:b/>
          <w:bCs/>
          <w:sz w:val="32"/>
          <w:szCs w:val="32"/>
          <w:lang w:val="zh-CN"/>
        </w:rPr>
        <w:t>项目概况</w:t>
      </w:r>
      <w:bookmarkEnd w:id="207"/>
      <w:bookmarkEnd w:id="208"/>
      <w:bookmarkEnd w:id="209"/>
      <w:bookmarkEnd w:id="210"/>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（一）项目基本情况。</w:t>
      </w:r>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按照《关于印发广元市学术和技术带头人及其后备人选评定管理办法的通知》（广府发〔2017〕45号）规定，“市学术技术带头人在管理期内享受以下待遇：由市委、市政府发给岗位激励资金，标准为每人每月500元，市人力资源社会保障局具体负责发放工作，所需经费由市级财政负担”。经市政府常务会议（七届第122次5号）审定同意，“将省学带所在地政府发放津贴标准由每人每月200元提高至每人每月500元</w:t>
      </w:r>
      <w:r>
        <w:rPr>
          <w:rFonts w:hint="eastAsia" w:hAnsi="仿宋_GB2312" w:eastAsia="仿宋_GB2312" w:cs="仿宋_GB2312"/>
          <w:b w:val="0"/>
          <w:bCs w:val="0"/>
          <w:color w:val="auto"/>
          <w:kern w:val="0"/>
          <w:sz w:val="32"/>
          <w:szCs w:val="32"/>
          <w:highlight w:val="none"/>
          <w:u w:val="none"/>
          <w:shd w:val="clear" w:color="auto" w:fill="FFFFFF"/>
          <w:lang w:val="en-US" w:eastAsia="zh-CN" w:bidi="ar-SA"/>
        </w:rPr>
        <w:t>，</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将管理期内的市学带岗位激励资金由每人每月500元提高至每人每月600元”。</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津贴发放范围和标准为：</w:t>
      </w:r>
      <w:r>
        <w:rPr>
          <w:rFonts w:hint="eastAsia" w:ascii="仿宋_GB2312" w:eastAsia="仿宋_GB2312"/>
          <w:sz w:val="32"/>
          <w:szCs w:val="32"/>
          <w:lang w:val="en-US" w:eastAsia="zh-CN"/>
        </w:rPr>
        <w:t>1.</w:t>
      </w:r>
      <w:r>
        <w:rPr>
          <w:rFonts w:hint="eastAsia" w:ascii="仿宋_GB2312" w:eastAsia="仿宋_GB2312"/>
          <w:sz w:val="32"/>
          <w:szCs w:val="32"/>
        </w:rPr>
        <w:t>对享受国务院政府特殊津贴的专家、国家有突出贡献的中青年专家、省有突出贡献的优秀专家、省以上学术技术带头人等四类专家，在任期间，除国家、省发给的津贴外，由所在地政府发给每人每月</w:t>
      </w:r>
      <w:r>
        <w:rPr>
          <w:rFonts w:hint="eastAsia" w:ascii="仿宋_GB2312" w:eastAsia="仿宋_GB2312"/>
          <w:sz w:val="32"/>
          <w:szCs w:val="32"/>
          <w:lang w:val="en-US" w:eastAsia="zh-CN"/>
        </w:rPr>
        <w:t>500</w:t>
      </w:r>
      <w:r>
        <w:rPr>
          <w:rFonts w:hint="eastAsia" w:ascii="仿宋_GB2312" w:eastAsia="仿宋_GB2312"/>
          <w:sz w:val="32"/>
          <w:szCs w:val="32"/>
        </w:rPr>
        <w:t>元的津贴</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市学术技术带头人在管理期内，给予每人每月</w:t>
      </w:r>
      <w:r>
        <w:rPr>
          <w:rFonts w:hint="eastAsia" w:ascii="仿宋_GB2312" w:eastAsia="仿宋_GB2312"/>
          <w:sz w:val="32"/>
          <w:szCs w:val="32"/>
          <w:lang w:val="en-US" w:eastAsia="zh-CN"/>
        </w:rPr>
        <w:t>6</w:t>
      </w:r>
      <w:r>
        <w:rPr>
          <w:rFonts w:hint="eastAsia" w:ascii="仿宋_GB2312" w:eastAsia="仿宋_GB2312"/>
          <w:sz w:val="32"/>
          <w:szCs w:val="32"/>
        </w:rPr>
        <w:t>00元的市政府专家津贴</w:t>
      </w:r>
      <w:r>
        <w:rPr>
          <w:rFonts w:hint="eastAsia" w:ascii="仿宋_GB2312" w:eastAsia="仿宋_GB2312"/>
          <w:sz w:val="32"/>
          <w:szCs w:val="32"/>
          <w:lang w:val="en-US" w:eastAsia="zh-CN"/>
        </w:rPr>
        <w:t>。3.</w:t>
      </w:r>
      <w:r>
        <w:rPr>
          <w:rFonts w:hint="eastAsia" w:ascii="仿宋_GB2312" w:eastAsia="仿宋_GB2312"/>
          <w:sz w:val="32"/>
          <w:szCs w:val="32"/>
        </w:rPr>
        <w:t>专家获得多项称号的，按就高原则发放市政府专家津贴，不重复享受。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pPr>
      <w:r>
        <w:rPr>
          <w:rFonts w:hint="eastAsia" w:ascii="仿宋_GB2312" w:eastAsia="仿宋_GB2312"/>
          <w:color w:val="auto"/>
          <w:sz w:val="32"/>
          <w:szCs w:val="32"/>
          <w:lang w:eastAsia="zh-CN"/>
        </w:rPr>
        <w:t>为</w:t>
      </w:r>
      <w:r>
        <w:rPr>
          <w:rFonts w:hint="eastAsia" w:ascii="仿宋_GB2312" w:eastAsia="仿宋_GB2312"/>
          <w:color w:val="auto"/>
          <w:sz w:val="32"/>
          <w:szCs w:val="32"/>
        </w:rPr>
        <w:t>省特殊贡献优秀专家</w:t>
      </w:r>
      <w:r>
        <w:rPr>
          <w:rFonts w:hint="eastAsia" w:ascii="仿宋_GB2312" w:eastAsia="仿宋_GB2312"/>
          <w:color w:val="auto"/>
          <w:sz w:val="32"/>
          <w:szCs w:val="32"/>
          <w:lang w:eastAsia="zh-CN"/>
        </w:rPr>
        <w:t>、</w:t>
      </w:r>
      <w:r>
        <w:rPr>
          <w:rFonts w:hint="eastAsia" w:ascii="仿宋_GB2312" w:eastAsia="仿宋_GB2312"/>
          <w:color w:val="auto"/>
          <w:sz w:val="32"/>
          <w:szCs w:val="32"/>
        </w:rPr>
        <w:t>管理期内的省学术技术带头人</w:t>
      </w:r>
      <w:r>
        <w:rPr>
          <w:rFonts w:hint="eastAsia" w:ascii="仿宋_GB2312" w:eastAsia="仿宋_GB2312"/>
          <w:color w:val="auto"/>
          <w:sz w:val="32"/>
          <w:szCs w:val="32"/>
          <w:lang w:eastAsia="zh-CN"/>
        </w:rPr>
        <w:t>、</w:t>
      </w:r>
      <w:r>
        <w:rPr>
          <w:rFonts w:hint="eastAsia" w:ascii="仿宋_GB2312" w:eastAsia="仿宋_GB2312"/>
          <w:color w:val="auto"/>
          <w:sz w:val="32"/>
          <w:szCs w:val="32"/>
        </w:rPr>
        <w:t>第七批市学术技术带头人</w:t>
      </w:r>
      <w:r>
        <w:rPr>
          <w:rFonts w:hint="eastAsia" w:ascii="仿宋_GB2312" w:eastAsia="仿宋_GB2312"/>
          <w:color w:val="auto"/>
          <w:sz w:val="32"/>
          <w:szCs w:val="32"/>
          <w:lang w:eastAsia="zh-CN"/>
        </w:rPr>
        <w:t>按时足额</w:t>
      </w:r>
      <w:r>
        <w:rPr>
          <w:rFonts w:hint="eastAsia" w:ascii="仿宋_GB2312" w:eastAsia="仿宋_GB2312"/>
          <w:color w:val="auto"/>
          <w:sz w:val="32"/>
          <w:szCs w:val="32"/>
        </w:rPr>
        <w:t>发放津贴</w:t>
      </w:r>
      <w:r>
        <w:rPr>
          <w:rFonts w:hint="eastAsia" w:ascii="仿宋_GB2312" w:eastAsia="仿宋_GB2312"/>
          <w:color w:val="auto"/>
          <w:sz w:val="32"/>
          <w:szCs w:val="32"/>
          <w:lang w:eastAsia="zh-CN"/>
        </w:rPr>
        <w:t>。</w:t>
      </w:r>
    </w:p>
    <w:p>
      <w:pPr>
        <w:keepNext w:val="0"/>
        <w:keepLines w:val="0"/>
        <w:pageBreakBefore w:val="0"/>
        <w:widowControl w:val="0"/>
        <w:numPr>
          <w:ilvl w:val="0"/>
          <w:numId w:val="15"/>
        </w:numPr>
        <w:kinsoku/>
        <w:wordWrap/>
        <w:overflowPunct/>
        <w:topLinePunct w:val="0"/>
        <w:autoSpaceDE/>
        <w:autoSpaceDN/>
        <w:bidi w:val="0"/>
        <w:spacing w:line="576" w:lineRule="exact"/>
        <w:ind w:left="800" w:leftChars="0" w:firstLine="0" w:firstLineChars="0"/>
        <w:textAlignment w:val="auto"/>
        <w:outlineLvl w:val="2"/>
        <w:rPr>
          <w:rFonts w:hint="eastAsia"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项目自评步骤及方法。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一是加强统筹，成立以专业技术人员管理科科长为组长，科室其余人员为成员的自评工作组。二是组织实施，通过核对申报资料，看有无漏发、多发的情况。三是考评结果，通过自评，得出考评分值，并查找问题，分析原因，提出整改意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11" w:name="_Toc10371"/>
      <w:bookmarkStart w:id="212" w:name="_Toc19634"/>
      <w:bookmarkStart w:id="213" w:name="_Toc28037"/>
      <w:bookmarkStart w:id="214" w:name="_Toc26563"/>
      <w:r>
        <w:rPr>
          <w:rFonts w:hint="eastAsia" w:ascii="黑体" w:hAnsi="宋体" w:eastAsia="黑体"/>
          <w:b w:val="0"/>
          <w:bCs w:val="0"/>
          <w:color w:val="auto"/>
          <w:sz w:val="32"/>
          <w:szCs w:val="32"/>
          <w:highlight w:val="none"/>
          <w:u w:val="none"/>
        </w:rPr>
        <w:t>二、项目资金申报及使用情况</w:t>
      </w:r>
      <w:bookmarkEnd w:id="211"/>
      <w:bookmarkEnd w:id="212"/>
      <w:bookmarkEnd w:id="213"/>
      <w:bookmarkEnd w:id="214"/>
    </w:p>
    <w:p>
      <w:pPr>
        <w:keepNext w:val="0"/>
        <w:keepLines w:val="0"/>
        <w:pageBreakBefore w:val="0"/>
        <w:widowControl w:val="0"/>
        <w:kinsoku/>
        <w:wordWrap/>
        <w:overflowPunct/>
        <w:topLinePunct w:val="0"/>
        <w:autoSpaceDE/>
        <w:autoSpaceDN/>
        <w:bidi w:val="0"/>
        <w:spacing w:line="576" w:lineRule="exact"/>
        <w:ind w:firstLine="640" w:firstLineChars="200"/>
        <w:textAlignment w:val="auto"/>
        <w:outlineLvl w:val="2"/>
        <w:rPr>
          <w:rFonts w:hint="eastAsia"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（一）项目资金申报及批复情况。</w:t>
      </w:r>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bidi="ar-SA"/>
        </w:rPr>
        <w:t>申报项目资金</w:t>
      </w:r>
      <w:r>
        <w:rPr>
          <w:rFonts w:hint="eastAsia" w:ascii="仿宋_GB2312" w:eastAsia="仿宋_GB2312"/>
          <w:sz w:val="32"/>
          <w:szCs w:val="32"/>
        </w:rPr>
        <w:t>50.76万元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，批复</w:t>
      </w:r>
      <w:r>
        <w:rPr>
          <w:rFonts w:hint="eastAsia" w:ascii="仿宋_GB2312" w:eastAsia="仿宋_GB2312"/>
          <w:sz w:val="32"/>
          <w:szCs w:val="32"/>
        </w:rPr>
        <w:t>50.76万元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SA"/>
        </w:rPr>
        <w:t>，未调整预算。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lang w:val="zh-CN"/>
        </w:rPr>
      </w:pPr>
      <w:r>
        <w:rPr>
          <w:rFonts w:hint="eastAsia" w:ascii="楷体_GB2312" w:hAnsi="宋体" w:eastAsia="楷体_GB2312"/>
          <w:b w:val="0"/>
          <w:bCs w:val="0"/>
          <w:color w:val="auto"/>
          <w:sz w:val="32"/>
          <w:szCs w:val="32"/>
          <w:highlight w:val="none"/>
          <w:u w:val="none"/>
          <w:lang w:val="zh-CN"/>
        </w:rPr>
        <w:t>（二）资金计划、到位及使用情况（可用表格形式反映）。</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黑体" w:hAnsi="宋体" w:eastAsia="仿宋_GB2312"/>
          <w:b w:val="0"/>
          <w:bCs w:val="0"/>
          <w:color w:val="auto"/>
          <w:sz w:val="32"/>
          <w:szCs w:val="32"/>
          <w:highlight w:val="none"/>
          <w:u w:val="none"/>
          <w:lang w:eastAsia="zh-CN"/>
        </w:rPr>
      </w:pPr>
      <w:r>
        <w:rPr>
          <w:rFonts w:hint="eastAsia" w:ascii="仿宋_GB2312" w:eastAsia="仿宋_GB2312"/>
          <w:sz w:val="32"/>
          <w:szCs w:val="32"/>
        </w:rPr>
        <w:t>2022年，我市共有省特殊贡献优秀专家1名，在管理期内的省学术技术带头人2名，全年需发放津贴1.8万元；第七批市学术技术带头人68名，全年需发放津贴48.96万元。以上2项总计金额为50.76万元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15" w:name="_Toc19175"/>
      <w:bookmarkStart w:id="216" w:name="_Toc15215"/>
      <w:bookmarkStart w:id="217" w:name="_Toc5843"/>
      <w:bookmarkStart w:id="218" w:name="_Toc32330"/>
      <w:r>
        <w:rPr>
          <w:rFonts w:hint="eastAsia" w:ascii="黑体" w:hAnsi="宋体" w:eastAsia="黑体"/>
          <w:b w:val="0"/>
          <w:bCs w:val="0"/>
          <w:color w:val="auto"/>
          <w:sz w:val="32"/>
          <w:szCs w:val="32"/>
          <w:highlight w:val="none"/>
          <w:u w:val="none"/>
        </w:rPr>
        <w:t>三、项目实施及管理情况</w:t>
      </w:r>
      <w:bookmarkEnd w:id="215"/>
      <w:bookmarkEnd w:id="216"/>
      <w:bookmarkEnd w:id="217"/>
      <w:bookmarkEnd w:id="218"/>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根据《中华人民共和国预算法》等制度要求，</w:t>
      </w:r>
      <w:r>
        <w:rPr>
          <w:rFonts w:hint="eastAsia" w:ascii="仿宋_GB2312" w:hAnsi="仿宋_GB2312" w:eastAsia="仿宋_GB2312" w:cs="仿宋_GB2312"/>
          <w:sz w:val="32"/>
          <w:szCs w:val="32"/>
          <w:lang w:eastAsia="zh-CN"/>
        </w:rPr>
        <w:t>广元市人力资源和社会保障局</w:t>
      </w:r>
      <w:r>
        <w:rPr>
          <w:rFonts w:hint="eastAsia" w:ascii="仿宋_GB2312" w:hAnsi="仿宋_GB2312" w:eastAsia="仿宋_GB2312" w:cs="仿宋_GB2312"/>
          <w:sz w:val="32"/>
          <w:szCs w:val="32"/>
        </w:rPr>
        <w:t>对项目实行了国库集中支付，资金支出严格依据相关财务制度和预算标准执行，资金使用合法合规，财务信息真实完整，坚持了厉行节约，不存在资金截留、挤占和挪用现象。</w:t>
      </w:r>
    </w:p>
    <w:p>
      <w:pPr>
        <w:pStyle w:val="15"/>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outlineLvl w:val="1"/>
        <w:rPr>
          <w:rFonts w:hint="eastAsia" w:ascii="黑体" w:hAnsi="宋体" w:eastAsia="黑体"/>
          <w:b w:val="0"/>
          <w:bCs w:val="0"/>
          <w:color w:val="auto"/>
          <w:sz w:val="32"/>
          <w:szCs w:val="32"/>
          <w:highlight w:val="none"/>
          <w:u w:val="none"/>
        </w:rPr>
      </w:pPr>
      <w:r>
        <w:rPr>
          <w:rFonts w:hint="eastAsia" w:ascii="仿宋_GB2312" w:hAnsi="仿宋_GB2312" w:eastAsia="仿宋_GB2312" w:cs="仿宋_GB2312"/>
          <w:sz w:val="32"/>
          <w:szCs w:val="32"/>
          <w:lang w:val="en-US" w:eastAsia="zh-CN"/>
        </w:rPr>
        <w:t xml:space="preserve">    </w:t>
      </w:r>
      <w:bookmarkStart w:id="219" w:name="_Toc21170"/>
      <w:bookmarkStart w:id="220" w:name="_Toc22610"/>
      <w:bookmarkStart w:id="221" w:name="_Toc1132"/>
      <w:bookmarkStart w:id="222" w:name="_Toc16943"/>
      <w:r>
        <w:rPr>
          <w:rFonts w:hint="eastAsia" w:ascii="黑体" w:hAnsi="宋体" w:eastAsia="黑体"/>
          <w:b w:val="0"/>
          <w:bCs w:val="0"/>
          <w:color w:val="auto"/>
          <w:sz w:val="32"/>
          <w:szCs w:val="32"/>
          <w:highlight w:val="none"/>
          <w:u w:val="none"/>
        </w:rPr>
        <w:t>四、项目绩效情况</w:t>
      </w:r>
      <w:bookmarkEnd w:id="219"/>
      <w:bookmarkEnd w:id="220"/>
      <w:bookmarkEnd w:id="221"/>
      <w:bookmarkEnd w:id="222"/>
    </w:p>
    <w:p>
      <w:pPr>
        <w:keepNext w:val="0"/>
        <w:keepLines w:val="0"/>
        <w:pageBreakBefore w:val="0"/>
        <w:widowControl w:val="0"/>
        <w:numPr>
          <w:ilvl w:val="0"/>
          <w:numId w:val="14"/>
        </w:numPr>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项目完成情况。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eastAsia="仿宋_GB2312"/>
          <w:color w:val="auto"/>
          <w:sz w:val="32"/>
          <w:szCs w:val="32"/>
          <w:lang w:eastAsia="zh-CN"/>
        </w:rPr>
        <w:t>为</w:t>
      </w:r>
      <w:r>
        <w:rPr>
          <w:rFonts w:hint="eastAsia" w:ascii="仿宋_GB2312" w:eastAsia="仿宋_GB2312"/>
          <w:color w:val="auto"/>
          <w:sz w:val="32"/>
          <w:szCs w:val="32"/>
        </w:rPr>
        <w:t>省特殊贡献优秀专家</w:t>
      </w:r>
      <w:r>
        <w:rPr>
          <w:rFonts w:hint="eastAsia" w:ascii="仿宋_GB2312" w:eastAsia="仿宋_GB2312"/>
          <w:color w:val="auto"/>
          <w:sz w:val="32"/>
          <w:szCs w:val="32"/>
          <w:lang w:eastAsia="zh-CN"/>
        </w:rPr>
        <w:t>、</w:t>
      </w:r>
      <w:r>
        <w:rPr>
          <w:rFonts w:hint="eastAsia" w:ascii="仿宋_GB2312" w:eastAsia="仿宋_GB2312"/>
          <w:color w:val="auto"/>
          <w:sz w:val="32"/>
          <w:szCs w:val="32"/>
        </w:rPr>
        <w:t>管理期内的省学术技术带头人</w:t>
      </w:r>
      <w:r>
        <w:rPr>
          <w:rFonts w:hint="eastAsia" w:ascii="仿宋_GB2312" w:eastAsia="仿宋_GB2312"/>
          <w:color w:val="auto"/>
          <w:sz w:val="32"/>
          <w:szCs w:val="32"/>
          <w:lang w:eastAsia="zh-CN"/>
        </w:rPr>
        <w:t>、</w:t>
      </w:r>
      <w:r>
        <w:rPr>
          <w:rFonts w:hint="eastAsia" w:ascii="仿宋_GB2312" w:eastAsia="仿宋_GB2312"/>
          <w:color w:val="auto"/>
          <w:sz w:val="32"/>
          <w:szCs w:val="32"/>
        </w:rPr>
        <w:t>第七批市学术技术带头人</w:t>
      </w:r>
      <w:r>
        <w:rPr>
          <w:rFonts w:hint="eastAsia" w:ascii="仿宋_GB2312" w:eastAsia="仿宋_GB2312"/>
          <w:color w:val="auto"/>
          <w:sz w:val="32"/>
          <w:szCs w:val="32"/>
          <w:lang w:eastAsia="zh-CN"/>
        </w:rPr>
        <w:t>共计</w:t>
      </w:r>
      <w:r>
        <w:rPr>
          <w:rFonts w:hint="eastAsia" w:ascii="仿宋_GB2312" w:eastAsia="仿宋_GB2312"/>
          <w:color w:val="auto"/>
          <w:sz w:val="32"/>
          <w:szCs w:val="32"/>
          <w:lang w:val="en-US" w:eastAsia="zh-CN"/>
        </w:rPr>
        <w:t>71人</w:t>
      </w:r>
      <w:r>
        <w:rPr>
          <w:rFonts w:hint="eastAsia" w:ascii="仿宋_GB2312" w:eastAsia="仿宋_GB2312"/>
          <w:color w:val="auto"/>
          <w:sz w:val="32"/>
          <w:szCs w:val="32"/>
        </w:rPr>
        <w:t>发放津贴50.76万元</w:t>
      </w:r>
      <w:r>
        <w:rPr>
          <w:rFonts w:hint="eastAsia" w:ascii="仿宋_GB2312" w:eastAsia="仿宋_GB2312"/>
          <w:color w:val="auto"/>
          <w:sz w:val="32"/>
          <w:szCs w:val="32"/>
          <w:lang w:eastAsia="zh-CN"/>
        </w:rPr>
        <w:t>。</w:t>
      </w:r>
    </w:p>
    <w:p>
      <w:pPr>
        <w:pStyle w:val="15"/>
        <w:keepNext w:val="0"/>
        <w:keepLines w:val="0"/>
        <w:pageBreakBefore w:val="0"/>
        <w:widowControl w:val="0"/>
        <w:numPr>
          <w:ilvl w:val="0"/>
          <w:numId w:val="14"/>
        </w:numPr>
        <w:kinsoku/>
        <w:wordWrap/>
        <w:overflowPunct/>
        <w:topLinePunct w:val="0"/>
        <w:autoSpaceDE/>
        <w:autoSpaceDN/>
        <w:bidi w:val="0"/>
        <w:spacing w:line="576" w:lineRule="exact"/>
        <w:ind w:left="0" w:leftChars="0" w:firstLine="640" w:firstLineChars="200"/>
        <w:textAlignment w:val="auto"/>
        <w:outlineLvl w:val="2"/>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楷体_GB2312" w:hAnsi="宋体" w:eastAsia="楷体_GB2312"/>
          <w:b w:val="0"/>
          <w:bCs w:val="0"/>
          <w:color w:val="auto"/>
          <w:sz w:val="32"/>
          <w:szCs w:val="32"/>
          <w:highlight w:val="none"/>
          <w:u w:val="none"/>
          <w:lang w:val="zh-CN"/>
        </w:rPr>
        <w:t>项目效益情况。</w:t>
      </w:r>
    </w:p>
    <w:p>
      <w:pPr>
        <w:pStyle w:val="15"/>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eastAsia="仿宋_GB2312" w:cs="仿宋_GB2312"/>
          <w:spacing w:val="4"/>
          <w:sz w:val="32"/>
          <w:szCs w:val="32"/>
        </w:rPr>
      </w:pPr>
      <w:r>
        <w:rPr>
          <w:rFonts w:hint="eastAsia" w:ascii="仿宋_GB2312" w:eastAsia="仿宋_GB2312"/>
          <w:color w:val="auto"/>
          <w:sz w:val="32"/>
          <w:szCs w:val="32"/>
          <w:lang w:eastAsia="zh-CN"/>
        </w:rPr>
        <w:t>对专家起鼓励性作用，</w:t>
      </w:r>
      <w:r>
        <w:rPr>
          <w:rFonts w:hint="eastAsia" w:ascii="仿宋_GB2312" w:eastAsia="仿宋_GB2312"/>
          <w:sz w:val="32"/>
          <w:szCs w:val="32"/>
          <w:lang w:eastAsia="zh-CN"/>
        </w:rPr>
        <w:t>为</w:t>
      </w:r>
      <w:r>
        <w:rPr>
          <w:rFonts w:hint="eastAsia" w:ascii="仿宋_GB2312" w:eastAsia="仿宋_GB2312"/>
          <w:sz w:val="32"/>
          <w:szCs w:val="32"/>
        </w:rPr>
        <w:t>激励我</w:t>
      </w:r>
      <w:r>
        <w:rPr>
          <w:rFonts w:hint="eastAsia" w:ascii="仿宋_GB2312" w:eastAsia="仿宋_GB2312"/>
          <w:sz w:val="32"/>
          <w:szCs w:val="32"/>
          <w:lang w:eastAsia="zh-CN"/>
        </w:rPr>
        <w:t>市</w:t>
      </w:r>
      <w:r>
        <w:rPr>
          <w:rFonts w:hint="eastAsia" w:ascii="仿宋_GB2312" w:eastAsia="仿宋_GB2312"/>
          <w:sz w:val="32"/>
          <w:szCs w:val="32"/>
        </w:rPr>
        <w:t>高层次、高技能人才积极投身社会主义现代化建设</w:t>
      </w:r>
      <w:r>
        <w:rPr>
          <w:rFonts w:hint="eastAsia" w:ascii="仿宋_GB2312" w:eastAsia="仿宋_GB2312"/>
          <w:sz w:val="32"/>
          <w:szCs w:val="32"/>
          <w:lang w:eastAsia="zh-CN"/>
        </w:rPr>
        <w:t>，对</w:t>
      </w:r>
      <w:r>
        <w:rPr>
          <w:rFonts w:hint="eastAsia" w:ascii="仿宋_GB2312" w:eastAsia="仿宋_GB2312"/>
          <w:sz w:val="32"/>
          <w:szCs w:val="32"/>
        </w:rPr>
        <w:t>营造有利于人才成长发展的良好环境等方面发挥了积极作用，取得了突出成效。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23" w:name="_Toc14770"/>
      <w:bookmarkStart w:id="224" w:name="_Toc21906"/>
      <w:bookmarkStart w:id="225" w:name="_Toc9401"/>
      <w:bookmarkStart w:id="226" w:name="_Toc26224"/>
      <w:r>
        <w:rPr>
          <w:rFonts w:hint="eastAsia" w:ascii="黑体" w:hAnsi="宋体" w:eastAsia="黑体"/>
          <w:b w:val="0"/>
          <w:bCs w:val="0"/>
          <w:color w:val="auto"/>
          <w:sz w:val="32"/>
          <w:szCs w:val="32"/>
          <w:highlight w:val="none"/>
          <w:u w:val="none"/>
        </w:rPr>
        <w:t>五、评价结论及建议</w:t>
      </w:r>
      <w:bookmarkEnd w:id="223"/>
      <w:bookmarkEnd w:id="224"/>
      <w:bookmarkEnd w:id="225"/>
      <w:bookmarkEnd w:id="226"/>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Calibri" w:eastAsia="仿宋_GB2312" w:cs="仿宋_GB2312"/>
          <w:sz w:val="32"/>
          <w:szCs w:val="32"/>
        </w:rPr>
      </w:pPr>
      <w:r>
        <w:rPr>
          <w:rFonts w:hint="eastAsia" w:ascii="仿宋_GB2312" w:hAnsi="Calibri" w:eastAsia="仿宋_GB2312" w:cs="仿宋_GB2312"/>
          <w:sz w:val="32"/>
          <w:szCs w:val="32"/>
          <w:lang w:eastAsia="zh-CN"/>
        </w:rPr>
        <w:t>市政府专家津贴发放工作意义重大，体现了一个地方对高级知识分子、特级专家人才的重视程度。而一个地方的高质量发展离不开各行各业专家人才的专业建议和智慧。市政府专家津贴发放工作需要更加细致、精准、高效</w:t>
      </w:r>
      <w:r>
        <w:rPr>
          <w:rFonts w:hint="eastAsia" w:ascii="仿宋_GB2312" w:hAnsi="Calibri" w:eastAsia="仿宋_GB2312" w:cs="仿宋_GB2312"/>
          <w:sz w:val="32"/>
          <w:szCs w:val="32"/>
        </w:rPr>
        <w:t>。</w:t>
      </w:r>
    </w:p>
    <w:p>
      <w:pPr>
        <w:rPr>
          <w:rFonts w:hint="eastAsia"/>
        </w:rPr>
      </w:pPr>
      <w:r>
        <w:rPr>
          <w:rFonts w:hint="eastAsia"/>
        </w:rPr>
        <w:br w:type="page"/>
      </w: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default"/>
          <w:lang w:val="en-US"/>
        </w:rPr>
      </w:pPr>
      <w:r>
        <w:rPr>
          <w:rFonts w:hint="eastAsia" w:ascii="方正小标宋简体" w:hAnsi="方正小标宋简体" w:eastAsia="方正小标宋简体" w:cs="方正小标宋简体"/>
          <w:color w:val="auto"/>
          <w:kern w:val="2"/>
          <w:sz w:val="32"/>
          <w:szCs w:val="32"/>
          <w:highlight w:val="none"/>
          <w:lang w:val="en-US" w:eastAsia="zh-CN"/>
        </w:rPr>
        <w:t>2023年专项资金预算项目绩效自评报告六</w:t>
      </w: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（第九届职业技能竞赛奖金）</w:t>
      </w:r>
    </w:p>
    <w:p>
      <w:pPr>
        <w:keepNext w:val="0"/>
        <w:keepLines w:val="0"/>
        <w:pageBreakBefore w:val="0"/>
        <w:widowControl w:val="0"/>
        <w:kinsoku/>
        <w:wordWrap/>
        <w:overflowPunct/>
        <w:topLinePunct w:val="0"/>
        <w:autoSpaceDE/>
        <w:autoSpaceDN/>
        <w:bidi w:val="0"/>
        <w:adjustRightInd w:val="0"/>
        <w:snapToGrid w:val="0"/>
        <w:spacing w:line="576" w:lineRule="exact"/>
        <w:ind w:firstLine="420" w:firstLineChars="200"/>
        <w:jc w:val="both"/>
        <w:textAlignment w:val="auto"/>
        <w:outlineLvl w:val="1"/>
        <w:rPr>
          <w:rFonts w:ascii="黑体" w:hAnsi="宋体" w:eastAsia="黑体"/>
          <w:b w:val="0"/>
          <w:bCs w:val="0"/>
          <w:highlight w:val="none"/>
          <w:lang w:val="zh-CN"/>
        </w:rPr>
      </w:pPr>
      <w:bookmarkStart w:id="227" w:name="_Toc15413"/>
      <w:bookmarkStart w:id="228" w:name="_Toc458"/>
      <w:bookmarkStart w:id="229" w:name="_Toc18853"/>
      <w:bookmarkStart w:id="230" w:name="_Toc744"/>
      <w:r>
        <w:rPr>
          <w:rFonts w:hint="eastAsia" w:ascii="黑体" w:hAnsi="宋体" w:eastAsia="黑体"/>
          <w:b w:val="0"/>
          <w:bCs w:val="0"/>
          <w:highlight w:val="none"/>
        </w:rPr>
        <w:t>一、</w:t>
      </w:r>
      <w:r>
        <w:rPr>
          <w:rFonts w:hint="eastAsia" w:ascii="黑体" w:hAnsi="宋体" w:eastAsia="黑体"/>
          <w:b w:val="0"/>
          <w:bCs w:val="0"/>
          <w:highlight w:val="none"/>
          <w:lang w:val="zh-CN"/>
        </w:rPr>
        <w:t>项目概况</w:t>
      </w:r>
      <w:bookmarkEnd w:id="227"/>
      <w:bookmarkEnd w:id="228"/>
      <w:bookmarkEnd w:id="229"/>
      <w:bookmarkEnd w:id="230"/>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1．</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主管部门职能。</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根据《中共广元市委、广元市人民政府关于印发〈广元市机构改革方案〉和〈广元市机构改革方案的实施意见〉的通知》（广委发〔2019〕2号）规定，我局牵头负责全市技能人才培养工作，包括组织实施市级职业技能竞赛工作。</w:t>
      </w:r>
      <w:r>
        <w:rPr>
          <w:rFonts w:hint="eastAsia" w:ascii="仿宋_GB2312" w:hAnsi="仿宋_GB2312" w:eastAsia="仿宋_GB2312" w:cs="仿宋_GB2312"/>
          <w:sz w:val="32"/>
          <w:szCs w:val="32"/>
        </w:rPr>
        <w:t>竞赛由市委、市政府主办，市人力资源社会保障局牵头承办。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2．</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立项</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依据。根据《广元市职业技能竞赛管理办法》，拟于2022年4月至9月举办广元市第九届职业技能竞赛暨第二届茶产业职业技能竞赛，</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本届竞赛</w:t>
      </w:r>
      <w:r>
        <w:rPr>
          <w:rFonts w:hint="eastAsia" w:ascii="仿宋_GB2312" w:hAnsi="仿宋_GB2312" w:eastAsia="仿宋_GB2312" w:cs="仿宋_GB2312"/>
          <w:sz w:val="32"/>
          <w:szCs w:val="32"/>
        </w:rPr>
        <w:t>拟设置竞赛项目27个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一等奖27名、二等奖54名、三等奖81名</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3．资金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或项目</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管理办法制定情况。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《《广元市职业技能竞赛管理办法》，</w:t>
      </w:r>
      <w:r>
        <w:rPr>
          <w:rFonts w:hint="eastAsia" w:ascii="仿宋_GB2312" w:hAnsi="仿宋_GB2312" w:eastAsia="仿宋_GB2312" w:cs="仿宋_GB2312"/>
          <w:spacing w:val="-6"/>
          <w:sz w:val="32"/>
          <w:szCs w:val="32"/>
        </w:rPr>
        <w:t>竞赛各项目原则上设一等奖1名、二等奖2名、三等奖3名，按照《</w:t>
      </w:r>
      <w:r>
        <w:rPr>
          <w:rFonts w:hint="eastAsia" w:ascii="仿宋_GB2312" w:hAnsi="仿宋_GB2312" w:eastAsia="仿宋_GB2312" w:cs="仿宋_GB2312"/>
          <w:sz w:val="32"/>
          <w:szCs w:val="32"/>
        </w:rPr>
        <w:t>广元市支持重点产业企业人才队伍建设十条措施（试行）</w:t>
      </w:r>
      <w:r>
        <w:rPr>
          <w:rFonts w:hint="eastAsia" w:ascii="仿宋_GB2312" w:hAnsi="仿宋_GB2312" w:eastAsia="仿宋_GB2312" w:cs="仿宋_GB2312"/>
          <w:spacing w:val="-6"/>
          <w:sz w:val="32"/>
          <w:szCs w:val="32"/>
        </w:rPr>
        <w:t>》规定分别给予现金奖励。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4．资金分配的原则及考虑因素。经测算，</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本届竞赛</w:t>
      </w:r>
      <w:r>
        <w:rPr>
          <w:rFonts w:hint="eastAsia" w:ascii="仿宋_GB2312" w:hAnsi="仿宋_GB2312" w:eastAsia="仿宋_GB2312" w:cs="仿宋_GB2312"/>
          <w:sz w:val="32"/>
          <w:szCs w:val="32"/>
        </w:rPr>
        <w:t>拟设置竞赛项目27个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一等奖27名、二等奖54名、三等奖81名</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，奖金标准：一等奖5000元/人、二等奖3000元/人、三等奖1500元/人，</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预算资金合计</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41.85万元</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sz w:val="32"/>
          <w:szCs w:val="32"/>
          <w:lang w:val="en-US" w:eastAsia="zh-CN"/>
        </w:rPr>
        <w:t>本届</w:t>
      </w:r>
      <w:r>
        <w:rPr>
          <w:rFonts w:hint="eastAsia" w:ascii="仿宋_GB2312" w:hAnsi="仿宋_GB2312" w:eastAsia="仿宋_GB2312" w:cs="仿宋_GB2312"/>
          <w:sz w:val="32"/>
          <w:szCs w:val="32"/>
        </w:rPr>
        <w:t>竞赛项目27个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拟设一等奖27名、二等奖54名、三等奖81名</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，奖金标准：一等奖5000元/人、二等奖3000元/人、三等奖1500元/人，预计发放奖金</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合计</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41.85万元。本项目</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评价申报内容与实际相符，申报目标合理可行。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一是加强统筹，成立以科长为组长，科室其余人员为成员的自评工作组。二是组织实施，通过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审核竞赛成绩通知文件、奖金拨付单等材料，确保项目支出无差错，达到预算绩效目标</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。三是考评结果，通过自评，得出考评分值，并查找问题，分析原因，提出整改意见。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31" w:name="_Toc12676"/>
      <w:bookmarkStart w:id="232" w:name="_Toc20397"/>
      <w:bookmarkStart w:id="233" w:name="_Toc10496"/>
      <w:bookmarkStart w:id="234" w:name="_Toc2776"/>
      <w:r>
        <w:rPr>
          <w:rFonts w:hint="eastAsia" w:ascii="黑体" w:hAnsi="宋体" w:eastAsia="黑体"/>
          <w:b w:val="0"/>
          <w:bCs w:val="0"/>
          <w:color w:val="auto"/>
          <w:sz w:val="32"/>
          <w:szCs w:val="32"/>
          <w:highlight w:val="none"/>
          <w:u w:val="none"/>
        </w:rPr>
        <w:t>二、项目资金申报及使用情况</w:t>
      </w:r>
      <w:bookmarkEnd w:id="231"/>
      <w:bookmarkEnd w:id="232"/>
      <w:bookmarkEnd w:id="233"/>
      <w:bookmarkEnd w:id="234"/>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cs="仿宋_GB2312"/>
          <w:b w:val="0"/>
          <w:bCs w:val="0"/>
          <w:color w:val="auto"/>
          <w:kern w:val="0"/>
          <w:sz w:val="32"/>
          <w:szCs w:val="32"/>
          <w:highlight w:val="none"/>
          <w:u w:val="none"/>
          <w:shd w:val="clear" w:color="auto" w:fill="FFFFFF"/>
          <w:lang w:val="zh-CN"/>
        </w:rPr>
        <w:t>申报项目资金</w:t>
      </w:r>
      <w:r>
        <w:rPr>
          <w:rFonts w:hint="eastAsia" w:ascii="仿宋_GB2312" w:hAnsi="仿宋_GB2312" w:cs="仿宋_GB2312"/>
          <w:b w:val="0"/>
          <w:bCs w:val="0"/>
          <w:color w:val="auto"/>
          <w:kern w:val="0"/>
          <w:sz w:val="32"/>
          <w:szCs w:val="32"/>
          <w:highlight w:val="none"/>
          <w:u w:val="none"/>
          <w:shd w:val="clear" w:color="auto" w:fill="FFFFFF"/>
          <w:lang w:val="en-US" w:eastAsia="zh-CN"/>
        </w:rPr>
        <w:t>41.85万元，批复41.85万元。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ascii="仿宋_GB2312" w:hAnsi="宋体"/>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1．资金计划。</w:t>
      </w:r>
      <w:r>
        <w:rPr>
          <w:rFonts w:hint="eastAsia" w:ascii="仿宋_GB2312" w:hAnsi="仿宋_GB2312" w:eastAsia="仿宋_GB2312" w:cs="仿宋_GB2312"/>
          <w:color w:val="auto"/>
          <w:sz w:val="32"/>
          <w:szCs w:val="32"/>
          <w:lang w:val="zh-CN"/>
        </w:rPr>
        <w:t>经市人大审查批准及市财政局批复，</w:t>
      </w:r>
      <w:r>
        <w:rPr>
          <w:rFonts w:hint="eastAsia" w:ascii="仿宋_GB2312" w:hAnsi="仿宋_GB2312" w:eastAsia="仿宋_GB2312" w:cs="仿宋_GB2312"/>
          <w:color w:val="auto"/>
          <w:sz w:val="32"/>
          <w:szCs w:val="32"/>
          <w:lang w:val="en-US" w:eastAsia="zh-CN"/>
        </w:rPr>
        <w:t>追加</w:t>
      </w:r>
      <w:r>
        <w:rPr>
          <w:rFonts w:hint="eastAsia" w:ascii="仿宋_GB2312" w:hAnsi="仿宋_GB2312" w:eastAsia="仿宋_GB2312" w:cs="仿宋_GB2312"/>
          <w:b w:val="0"/>
          <w:bCs w:val="0"/>
          <w:color w:val="auto"/>
          <w:w w:val="100"/>
          <w:kern w:val="2"/>
          <w:sz w:val="32"/>
          <w:szCs w:val="32"/>
          <w:lang w:val="en-US" w:eastAsia="zh-CN" w:bidi="ar-SA"/>
        </w:rPr>
        <w:t>技能大师工作室补助资金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41.85</w:t>
      </w:r>
      <w:r>
        <w:rPr>
          <w:rFonts w:hint="eastAsia" w:ascii="仿宋_GB2312" w:hAnsi="仿宋_GB2312" w:eastAsia="仿宋_GB2312" w:cs="仿宋_GB2312"/>
          <w:b w:val="0"/>
          <w:bCs w:val="0"/>
          <w:color w:val="auto"/>
          <w:w w:val="100"/>
          <w:kern w:val="2"/>
          <w:sz w:val="32"/>
          <w:szCs w:val="32"/>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资金到位。</w:t>
      </w:r>
      <w:r>
        <w:rPr>
          <w:rFonts w:hint="eastAsia" w:ascii="仿宋_GB2312" w:hAnsi="仿宋_GB2312" w:eastAsia="仿宋_GB2312" w:cs="仿宋_GB2312"/>
          <w:b w:val="0"/>
          <w:bCs w:val="0"/>
          <w:sz w:val="32"/>
          <w:szCs w:val="32"/>
          <w:lang w:val="zh-CN"/>
        </w:rPr>
        <w:t>该项目资金到位</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41.85</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资金到位率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100%</w:t>
      </w:r>
      <w:r>
        <w:rPr>
          <w:rFonts w:hint="eastAsia" w:ascii="仿宋_GB2312" w:hAnsi="仿宋_GB2312" w:eastAsia="仿宋_GB2312" w:cs="仿宋_GB2312"/>
          <w:b w:val="0"/>
          <w:bCs w:val="0"/>
          <w:sz w:val="32"/>
          <w:szCs w:val="32"/>
          <w:lang w:val="zh-CN"/>
        </w:rPr>
        <w:t>，为本级财政拨款资金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3.</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资金使用。</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因实际获奖人数减少，评价日</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使用资金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38.85万</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预算执行率92.83。</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2"/>
        <w:rPr>
          <w:rFonts w:hint="eastAsia" w:ascii="楷体_GB2312" w:hAnsi="宋体" w:eastAsia="楷体_GB2312"/>
          <w:b w:val="0"/>
          <w:bCs w:val="0"/>
          <w:color w:val="auto"/>
          <w:sz w:val="32"/>
          <w:szCs w:val="32"/>
          <w:highlight w:val="none"/>
          <w:u w:val="none"/>
          <w:lang w:val="en-US" w:eastAsia="zh-CN"/>
        </w:rPr>
      </w:pPr>
      <w:r>
        <w:rPr>
          <w:rFonts w:hint="eastAsia" w:ascii="楷体_GB2312" w:hAnsi="宋体" w:eastAsia="楷体_GB2312"/>
          <w:b w:val="0"/>
          <w:bCs w:val="0"/>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宋体" w:eastAsia="仿宋_GB2312" w:cs="仿宋_GB2312"/>
          <w:color w:val="auto"/>
          <w:sz w:val="32"/>
          <w:szCs w:val="32"/>
          <w:lang w:val="zh-CN"/>
        </w:rPr>
      </w:pPr>
      <w:r>
        <w:rPr>
          <w:rFonts w:hint="eastAsia" w:ascii="仿宋_GB2312" w:hAnsi="宋体" w:eastAsia="仿宋_GB2312" w:cs="仿宋_GB2312"/>
          <w:color w:val="auto"/>
          <w:sz w:val="32"/>
          <w:szCs w:val="32"/>
          <w:lang w:val="zh-CN"/>
        </w:rPr>
        <w:t>建</w:t>
      </w:r>
      <w:r>
        <w:rPr>
          <w:rFonts w:hint="eastAsia" w:ascii="仿宋_GB2312" w:hAnsi="宋体" w:cs="仿宋_GB2312"/>
          <w:color w:val="auto"/>
          <w:sz w:val="32"/>
          <w:szCs w:val="32"/>
          <w:lang w:val="en-US" w:eastAsia="zh-CN"/>
        </w:rPr>
        <w:t>有</w:t>
      </w:r>
      <w:r>
        <w:rPr>
          <w:rFonts w:hint="eastAsia" w:ascii="仿宋_GB2312" w:hAnsi="宋体" w:eastAsia="仿宋_GB2312" w:cs="仿宋_GB2312"/>
          <w:color w:val="auto"/>
          <w:sz w:val="32"/>
          <w:szCs w:val="32"/>
          <w:lang w:val="zh-CN"/>
        </w:rPr>
        <w:t>健全的内部控制制度，内部控制管理运行有效。</w:t>
      </w:r>
      <w:r>
        <w:rPr>
          <w:rFonts w:hint="eastAsia" w:ascii="仿宋_GB2312" w:hAnsi="宋体" w:cs="仿宋_GB2312"/>
          <w:color w:val="auto"/>
          <w:sz w:val="32"/>
          <w:szCs w:val="32"/>
          <w:lang w:val="en-US" w:eastAsia="zh-CN"/>
        </w:rPr>
        <w:t>项目资金按照统一的</w:t>
      </w:r>
      <w:r>
        <w:rPr>
          <w:rFonts w:hint="eastAsia" w:ascii="仿宋_GB2312" w:hAnsi="宋体" w:eastAsia="仿宋_GB2312" w:cs="仿宋_GB2312"/>
          <w:color w:val="auto"/>
          <w:sz w:val="32"/>
          <w:szCs w:val="32"/>
          <w:lang w:val="zh-CN"/>
        </w:rPr>
        <w:t>财务管理制度</w:t>
      </w:r>
      <w:r>
        <w:rPr>
          <w:rFonts w:hint="eastAsia" w:ascii="仿宋_GB2312" w:hAnsi="宋体" w:cs="仿宋_GB2312"/>
          <w:color w:val="auto"/>
          <w:sz w:val="32"/>
          <w:szCs w:val="32"/>
          <w:lang w:val="en-US" w:eastAsia="zh-CN"/>
        </w:rPr>
        <w:t>进行管理</w:t>
      </w:r>
      <w:r>
        <w:rPr>
          <w:rFonts w:hint="eastAsia" w:ascii="仿宋_GB2312" w:hAnsi="宋体" w:eastAsia="仿宋_GB2312" w:cs="仿宋_GB2312"/>
          <w:color w:val="auto"/>
          <w:sz w:val="32"/>
          <w:szCs w:val="32"/>
          <w:lang w:val="zh-CN"/>
        </w:rPr>
        <w:t>，设</w:t>
      </w:r>
      <w:r>
        <w:rPr>
          <w:rFonts w:hint="eastAsia" w:ascii="仿宋_GB2312" w:hAnsi="宋体" w:cs="仿宋_GB2312"/>
          <w:color w:val="auto"/>
          <w:sz w:val="32"/>
          <w:szCs w:val="32"/>
          <w:lang w:val="en-US" w:eastAsia="zh-CN"/>
        </w:rPr>
        <w:t>有</w:t>
      </w:r>
      <w:r>
        <w:rPr>
          <w:rFonts w:hint="eastAsia" w:ascii="仿宋_GB2312" w:hAnsi="宋体" w:eastAsia="仿宋_GB2312" w:cs="仿宋_GB2312"/>
          <w:color w:val="auto"/>
          <w:sz w:val="32"/>
          <w:szCs w:val="32"/>
          <w:lang w:val="zh-CN"/>
        </w:rPr>
        <w:t>项目管理机构，会计核算及账务处理</w:t>
      </w:r>
      <w:r>
        <w:rPr>
          <w:rFonts w:hint="eastAsia" w:ascii="仿宋_GB2312" w:hAnsi="宋体" w:cs="仿宋_GB2312"/>
          <w:color w:val="auto"/>
          <w:sz w:val="32"/>
          <w:szCs w:val="32"/>
          <w:lang w:val="en-US" w:eastAsia="zh-CN"/>
        </w:rPr>
        <w:t>准确、规范</w:t>
      </w:r>
      <w:r>
        <w:rPr>
          <w:rFonts w:hint="eastAsia" w:ascii="仿宋_GB2312" w:hAnsi="宋体" w:cs="仿宋_GB2312"/>
          <w:color w:val="auto"/>
          <w:sz w:val="32"/>
          <w:szCs w:val="32"/>
          <w:lang w:val="zh-CN"/>
        </w:rPr>
        <w:t>、</w:t>
      </w:r>
      <w:r>
        <w:rPr>
          <w:rFonts w:hint="eastAsia" w:ascii="仿宋_GB2312" w:hAnsi="宋体" w:eastAsia="仿宋_GB2312" w:cs="仿宋_GB2312"/>
          <w:color w:val="auto"/>
          <w:sz w:val="32"/>
          <w:szCs w:val="32"/>
          <w:lang w:val="zh-CN"/>
        </w:rPr>
        <w:t>专款专用。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35" w:name="_Toc23331"/>
      <w:bookmarkStart w:id="236" w:name="_Toc6917"/>
      <w:bookmarkStart w:id="237" w:name="_Toc12255"/>
      <w:bookmarkStart w:id="238" w:name="_Toc28545"/>
      <w:r>
        <w:rPr>
          <w:rFonts w:hint="eastAsia" w:ascii="黑体" w:hAnsi="宋体" w:eastAsia="黑体"/>
          <w:b w:val="0"/>
          <w:bCs w:val="0"/>
          <w:color w:val="auto"/>
          <w:sz w:val="32"/>
          <w:szCs w:val="32"/>
          <w:highlight w:val="none"/>
          <w:u w:val="none"/>
        </w:rPr>
        <w:t>三、项目实施及管理情况</w:t>
      </w:r>
      <w:bookmarkEnd w:id="235"/>
      <w:bookmarkEnd w:id="236"/>
      <w:bookmarkEnd w:id="237"/>
      <w:bookmarkEnd w:id="238"/>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（一）项目组织架构及实施流程。</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职业能力建设科设</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科长</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1名，工作人员2名。科长负责审核管理项目，工作人员</w:t>
      </w:r>
      <w:r>
        <w:rPr>
          <w:rFonts w:hint="eastAsia" w:ascii="仿宋_GB2312" w:hAnsi="仿宋_GB2312" w:cs="仿宋_GB2312"/>
          <w:b w:val="0"/>
          <w:bCs w:val="0"/>
          <w:color w:val="auto"/>
          <w:kern w:val="0"/>
          <w:sz w:val="32"/>
          <w:szCs w:val="32"/>
          <w:highlight w:val="none"/>
          <w:u w:val="none"/>
          <w:shd w:val="clear" w:color="auto" w:fill="FFFFFF"/>
          <w:lang w:val="en-US" w:eastAsia="zh-CN"/>
        </w:rPr>
        <w:t>负责项目的具体</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（二）项目管理情况。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广元市职业技能竞赛管理办法》，竞赛各项目原则上设一等奖1名、二等奖2名、三等奖3名，按照《广元市支持重点产业企业人才队伍建设十条措施（试行）》规定分别给予现金奖励。项目实施标准严格按照计划标准执行，一律不得突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（三）项目监管情况。</w:t>
      </w:r>
      <w:r>
        <w:rPr>
          <w:rFonts w:hint="eastAsia" w:ascii="仿宋_GB2312" w:hAnsi="仿宋_GB2312" w:eastAsia="仿宋_GB2312" w:cs="仿宋_GB2312"/>
          <w:b w:val="0"/>
          <w:bCs w:val="0"/>
          <w:color w:val="auto"/>
          <w:sz w:val="32"/>
          <w:szCs w:val="32"/>
          <w:highlight w:val="none"/>
          <w:u w:val="none"/>
          <w:lang w:val="en-US" w:eastAsia="zh-CN"/>
        </w:rPr>
        <w:t>奖</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金拨付名单、金额等严格按《</w:t>
      </w:r>
      <w:r>
        <w:rPr>
          <w:rFonts w:hint="eastAsia" w:ascii="仿宋_GB2312" w:hAnsi="仿宋_GB2312" w:eastAsia="仿宋_GB2312" w:cs="仿宋_GB2312"/>
          <w:sz w:val="32"/>
          <w:szCs w:val="32"/>
        </w:rPr>
        <w:t>广元市第九届职业技能竞赛暨第二届茶产业职业技能竞赛实施方案</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w:t>
      </w:r>
      <w:r>
        <w:rPr>
          <w:rFonts w:hint="eastAsia" w:ascii="仿宋_GB2312" w:hAnsi="仿宋_GB2312" w:eastAsia="仿宋_GB2312" w:cs="仿宋_GB2312"/>
          <w:sz w:val="32"/>
          <w:szCs w:val="32"/>
        </w:rPr>
        <w:t>广元市第九届职业技能竞赛暨第二届茶产业职业技能竞赛经费预算</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》标准及程序执行。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仿宋_GB2312" w:hAnsi="宋体"/>
          <w:b w:val="0"/>
          <w:bCs w:val="0"/>
          <w:color w:val="auto"/>
          <w:sz w:val="32"/>
          <w:szCs w:val="32"/>
          <w:highlight w:val="none"/>
          <w:u w:val="none"/>
          <w:lang w:val="zh-CN"/>
        </w:rPr>
      </w:pPr>
      <w:bookmarkStart w:id="239" w:name="_Toc10303"/>
      <w:bookmarkStart w:id="240" w:name="_Toc7079"/>
      <w:bookmarkStart w:id="241" w:name="_Toc6804"/>
      <w:bookmarkStart w:id="242" w:name="_Toc1079"/>
      <w:r>
        <w:rPr>
          <w:rFonts w:hint="eastAsia" w:ascii="黑体" w:hAnsi="宋体" w:eastAsia="黑体"/>
          <w:b w:val="0"/>
          <w:bCs w:val="0"/>
          <w:color w:val="auto"/>
          <w:sz w:val="32"/>
          <w:szCs w:val="32"/>
          <w:highlight w:val="none"/>
          <w:u w:val="none"/>
        </w:rPr>
        <w:t>四、项目绩效情况</w:t>
      </w:r>
      <w:bookmarkEnd w:id="239"/>
      <w:bookmarkEnd w:id="240"/>
      <w:bookmarkEnd w:id="241"/>
      <w:bookmarkEnd w:id="242"/>
      <w:r>
        <w:rPr>
          <w:rFonts w:hint="eastAsia" w:ascii="仿宋_GB2312" w:hAnsi="宋体"/>
          <w:b w:val="0"/>
          <w:bCs w:val="0"/>
          <w:color w:val="auto"/>
          <w:sz w:val="32"/>
          <w:szCs w:val="32"/>
          <w:highlight w:val="none"/>
          <w:u w:val="none"/>
          <w:lang w:val="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sz w:val="32"/>
          <w:szCs w:val="32"/>
          <w:lang w:val="zh-CN" w:eastAsia="zh-CN"/>
        </w:rPr>
        <w:t>因受疫情影响，第九届职业职业技能竞赛暨第二届茶产业职业技能竞赛开展了部分分赛场的赛项，开幕式及余下主赛场项目延期至2023年</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最终获得</w:t>
      </w:r>
      <w:r>
        <w:rPr>
          <w:rFonts w:hint="eastAsia" w:ascii="仿宋_GB2312" w:hAnsi="仿宋_GB2312" w:eastAsia="仿宋_GB2312" w:cs="仿宋_GB2312"/>
          <w:sz w:val="32"/>
          <w:szCs w:val="32"/>
          <w:lang w:val="zh-CN" w:eastAsia="zh-CN"/>
        </w:rPr>
        <w:t>竞赛项目的一等奖</w:t>
      </w:r>
      <w:r>
        <w:rPr>
          <w:rFonts w:hint="eastAsia" w:ascii="仿宋_GB2312" w:hAnsi="仿宋_GB2312" w:eastAsia="仿宋_GB2312" w:cs="仿宋_GB2312"/>
          <w:sz w:val="32"/>
          <w:szCs w:val="32"/>
          <w:lang w:val="en-US" w:eastAsia="zh-CN"/>
        </w:rPr>
        <w:t>7人</w:t>
      </w:r>
      <w:r>
        <w:rPr>
          <w:rFonts w:hint="eastAsia" w:ascii="仿宋_GB2312" w:hAnsi="仿宋_GB2312" w:eastAsia="仿宋_GB2312" w:cs="仿宋_GB2312"/>
          <w:sz w:val="32"/>
          <w:szCs w:val="32"/>
          <w:lang w:val="zh-CN" w:eastAsia="zh-CN"/>
        </w:rPr>
        <w:t>、二</w:t>
      </w:r>
      <w:r>
        <w:rPr>
          <w:rFonts w:hint="eastAsia" w:ascii="仿宋_GB2312" w:hAnsi="仿宋_GB2312" w:eastAsia="仿宋_GB2312" w:cs="仿宋_GB2312"/>
          <w:sz w:val="32"/>
          <w:szCs w:val="32"/>
          <w:lang w:val="en-US" w:eastAsia="zh-CN"/>
        </w:rPr>
        <w:t>等奖49人</w:t>
      </w:r>
      <w:r>
        <w:rPr>
          <w:rFonts w:hint="eastAsia" w:ascii="仿宋_GB2312" w:hAnsi="仿宋_GB2312" w:eastAsia="仿宋_GB2312" w:cs="仿宋_GB2312"/>
          <w:sz w:val="32"/>
          <w:szCs w:val="32"/>
          <w:lang w:val="zh-CN" w:eastAsia="zh-CN"/>
        </w:rPr>
        <w:t>、三</w:t>
      </w:r>
      <w:r>
        <w:rPr>
          <w:rFonts w:hint="eastAsia" w:ascii="仿宋_GB2312" w:hAnsi="仿宋_GB2312" w:eastAsia="仿宋_GB2312" w:cs="仿宋_GB2312"/>
          <w:sz w:val="32"/>
          <w:szCs w:val="32"/>
          <w:lang w:val="en-US" w:eastAsia="zh-CN"/>
        </w:rPr>
        <w:t>等奖71人，共发放奖金38.85万元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43" w:name="_Toc13107"/>
      <w:bookmarkStart w:id="244" w:name="_Toc3859"/>
      <w:bookmarkStart w:id="245" w:name="_Toc144"/>
      <w:bookmarkStart w:id="246" w:name="_Toc16606"/>
      <w:r>
        <w:rPr>
          <w:rFonts w:hint="eastAsia" w:ascii="黑体" w:hAnsi="宋体" w:eastAsia="黑体"/>
          <w:b w:val="0"/>
          <w:bCs w:val="0"/>
          <w:color w:val="auto"/>
          <w:sz w:val="32"/>
          <w:szCs w:val="32"/>
          <w:highlight w:val="none"/>
          <w:u w:val="none"/>
        </w:rPr>
        <w:t>五、评价结论及建议</w:t>
      </w:r>
      <w:bookmarkEnd w:id="243"/>
      <w:bookmarkEnd w:id="244"/>
      <w:bookmarkEnd w:id="245"/>
      <w:bookmarkEnd w:id="246"/>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仿宋_GB2312" w:hAnsi="Calibri" w:eastAsia="仿宋_GB2312" w:cs="仿宋_GB2312"/>
          <w:sz w:val="32"/>
          <w:szCs w:val="32"/>
          <w:lang w:val="en-US"/>
        </w:rPr>
      </w:pPr>
      <w:r>
        <w:rPr>
          <w:rFonts w:hint="eastAsia" w:ascii="仿宋_GB2312" w:hAnsi="仿宋_GB2312" w:eastAsia="仿宋_GB2312" w:cs="仿宋_GB2312"/>
          <w:sz w:val="32"/>
          <w:szCs w:val="32"/>
          <w:lang w:val="en-US" w:eastAsia="zh-CN"/>
        </w:rPr>
        <w:t>此项目的实施，为第九届职业技能大赛提供了资金保障，增强了参赛选手满意度、幸福感、存在感、和价值感，有效激励更多青年人走技能成才之路，为社会和国家储备更多的技能人才。</w:t>
      </w:r>
    </w:p>
    <w:p>
      <w:pPr>
        <w:keepNext w:val="0"/>
        <w:keepLines w:val="0"/>
        <w:pageBreakBefore w:val="0"/>
        <w:widowControl w:val="0"/>
        <w:kinsoku/>
        <w:wordWrap/>
        <w:overflowPunct/>
        <w:topLinePunct w:val="0"/>
        <w:autoSpaceDE/>
        <w:autoSpaceDN/>
        <w:bidi w:val="0"/>
        <w:spacing w:line="576"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 w:hAnsi="仿宋" w:eastAsia="仿宋"/>
          <w:b w:val="0"/>
          <w:color w:val="auto"/>
          <w:highlight w:val="none"/>
        </w:rPr>
      </w:pPr>
      <w:r>
        <w:rPr>
          <w:rFonts w:hint="eastAsia" w:ascii="仿宋" w:hAnsi="仿宋" w:eastAsia="仿宋"/>
          <w:b w:val="0"/>
          <w:color w:val="auto"/>
          <w:highlight w:val="none"/>
        </w:rPr>
        <w:br w:type="page"/>
      </w:r>
    </w:p>
    <w:p>
      <w:pPr>
        <w:pStyle w:val="35"/>
        <w:keepNext w:val="0"/>
        <w:keepLines w:val="0"/>
        <w:pageBreakBefore w:val="0"/>
        <w:widowControl w:val="0"/>
        <w:kinsoku/>
        <w:wordWrap/>
        <w:overflowPunct/>
        <w:topLinePunct w:val="0"/>
        <w:autoSpaceDE/>
        <w:autoSpaceDN/>
        <w:bidi w:val="0"/>
        <w:spacing w:line="576" w:lineRule="exact"/>
        <w:jc w:val="center"/>
        <w:textAlignment w:val="auto"/>
        <w:rPr>
          <w:rFonts w:hint="default"/>
          <w:lang w:val="en-US"/>
        </w:rPr>
      </w:pPr>
      <w:r>
        <w:rPr>
          <w:rFonts w:hint="eastAsia" w:ascii="方正小标宋简体" w:hAnsi="方正小标宋简体" w:eastAsia="方正小标宋简体" w:cs="方正小标宋简体"/>
          <w:color w:val="auto"/>
          <w:kern w:val="2"/>
          <w:sz w:val="32"/>
          <w:szCs w:val="32"/>
          <w:highlight w:val="none"/>
          <w:lang w:val="en-US" w:eastAsia="zh-CN"/>
        </w:rPr>
        <w:t>2023年专项资金预算项目绩效自评报告七</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（技能大师工作室补助资金）</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仿宋_GB2312" w:hAnsi="仿宋_GB2312" w:eastAsia="仿宋_GB2312" w:cs="仿宋_GB2312"/>
          <w:b w:val="0"/>
          <w:bCs w:val="0"/>
          <w:color w:val="auto"/>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1"/>
        <w:rPr>
          <w:rFonts w:ascii="黑体" w:hAnsi="宋体" w:eastAsia="黑体"/>
          <w:b w:val="0"/>
          <w:bCs w:val="0"/>
          <w:sz w:val="32"/>
          <w:szCs w:val="32"/>
          <w:highlight w:val="none"/>
          <w:lang w:val="zh-CN"/>
        </w:rPr>
      </w:pPr>
      <w:bookmarkStart w:id="247" w:name="_Toc6739"/>
      <w:bookmarkStart w:id="248" w:name="_Toc8173"/>
      <w:bookmarkStart w:id="249" w:name="_Toc12078"/>
      <w:bookmarkStart w:id="250" w:name="_Toc8262"/>
      <w:r>
        <w:rPr>
          <w:rFonts w:hint="eastAsia" w:ascii="黑体" w:hAnsi="宋体" w:eastAsia="黑体"/>
          <w:b w:val="0"/>
          <w:bCs w:val="0"/>
          <w:sz w:val="32"/>
          <w:szCs w:val="32"/>
          <w:highlight w:val="none"/>
        </w:rPr>
        <w:t>一、</w:t>
      </w:r>
      <w:r>
        <w:rPr>
          <w:rFonts w:hint="eastAsia" w:ascii="黑体" w:hAnsi="宋体" w:eastAsia="黑体"/>
          <w:b w:val="0"/>
          <w:bCs w:val="0"/>
          <w:sz w:val="32"/>
          <w:szCs w:val="32"/>
          <w:highlight w:val="none"/>
          <w:lang w:val="zh-CN"/>
        </w:rPr>
        <w:t>项目概况</w:t>
      </w:r>
      <w:bookmarkEnd w:id="247"/>
      <w:bookmarkEnd w:id="248"/>
      <w:bookmarkEnd w:id="249"/>
      <w:bookmarkEnd w:id="250"/>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1．</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主管部门职能。</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根据《中共广元市委、广元市人民政府关于印发〈广元市机构改革方案〉和〈广元市机构改革方案的实施意见〉的通知》（广委发〔2019〕2号）规定，我局牵头负责全市技能人才培养工作，包括全市技能大师工作室建设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2．</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立项</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依据。</w:t>
      </w:r>
      <w:r>
        <w:rPr>
          <w:rFonts w:hint="eastAsia" w:ascii="仿宋_GB2312" w:hAnsi="仿宋_GB2312" w:eastAsia="仿宋_GB2312" w:cs="仿宋_GB2312"/>
          <w:sz w:val="32"/>
          <w:szCs w:val="32"/>
        </w:rPr>
        <w:t>市委组织部、市人力资源社会保障局、市经济信息化局、市科技局、市财政局《关于开展广元市技能大师工作室建设工作的通知》（广人社发〔2014〕6号）</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3．资金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或项目</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管理办法制定情况。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根据</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《关于开展广元市技能大师工作室建设工作的通知》，经评审认定的广元市技能大师工作室，市财政对每个技能大师工作室一次性给予3万元资金补助。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4．资金分配的原则及考虑因素。经测算，</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第四批评选认定3个市级技能大师工作室，预计一次性补助资金为3</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万元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/个，</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预算资金合计</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9万元</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针对已认定的3个第四批市级技能大师工作室拨付一次性建设补助资金，补助标准：3</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万元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/个，以提高技能大师工作室建设水平，提升劳动者职业技能水平。本项目</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评价申报内容与实际相符，申报目标合理可行。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（三）项目自评步骤及方法。</w:t>
      </w:r>
    </w:p>
    <w:p>
      <w:pPr>
        <w:spacing w:line="576" w:lineRule="exact"/>
        <w:ind w:firstLine="640" w:firstLineChars="200"/>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一是加强统筹，成立自评工作组。二是组织实施，通过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查看认定文件、申报资料、补助金拨付单等材料，确保项目支出无差错，达到预算绩效目标</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。三是考评结果，通过自评，得出考评分值，并查找问题，分析原因，提出整改意见。</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51" w:name="_Toc18855"/>
      <w:bookmarkStart w:id="252" w:name="_Toc15118"/>
      <w:bookmarkStart w:id="253" w:name="_Toc31002"/>
      <w:bookmarkStart w:id="254" w:name="_Toc14167"/>
      <w:r>
        <w:rPr>
          <w:rFonts w:hint="eastAsia" w:ascii="黑体" w:hAnsi="宋体" w:eastAsia="黑体"/>
          <w:b w:val="0"/>
          <w:bCs w:val="0"/>
          <w:color w:val="auto"/>
          <w:sz w:val="32"/>
          <w:szCs w:val="32"/>
          <w:highlight w:val="none"/>
          <w:u w:val="none"/>
        </w:rPr>
        <w:t>二、项目资金申报及使用情况</w:t>
      </w:r>
      <w:bookmarkEnd w:id="251"/>
      <w:bookmarkEnd w:id="252"/>
      <w:bookmarkEnd w:id="253"/>
      <w:bookmarkEnd w:id="254"/>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申报项目资金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9万元，批复9万元。</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仿宋_GB2312" w:hAnsi="宋体"/>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rPr>
      </w:pPr>
      <w:r>
        <w:rPr>
          <w:rFonts w:hint="eastAsia" w:ascii="仿宋_GB2312" w:hAnsi="仿宋_GB2312" w:eastAsia="仿宋_GB2312" w:cs="仿宋_GB2312"/>
          <w:b w:val="0"/>
          <w:bCs w:val="0"/>
          <w:color w:val="auto"/>
          <w:kern w:val="0"/>
          <w:sz w:val="32"/>
          <w:szCs w:val="32"/>
          <w:highlight w:val="none"/>
          <w:u w:val="none"/>
          <w:shd w:val="clear" w:color="auto" w:fill="FFFFFF"/>
          <w:lang w:val="zh-CN"/>
        </w:rPr>
        <w:t>1．资金计划。</w:t>
      </w:r>
      <w:r>
        <w:rPr>
          <w:rFonts w:hint="eastAsia" w:ascii="仿宋_GB2312" w:hAnsi="仿宋_GB2312" w:eastAsia="仿宋_GB2312" w:cs="仿宋_GB2312"/>
          <w:color w:val="auto"/>
          <w:sz w:val="32"/>
          <w:szCs w:val="32"/>
          <w:lang w:val="zh-CN"/>
        </w:rPr>
        <w:t>经市人大审查批准及市财政局批复，</w:t>
      </w:r>
      <w:r>
        <w:rPr>
          <w:rFonts w:hint="eastAsia" w:ascii="仿宋_GB2312" w:hAnsi="仿宋_GB2312" w:eastAsia="仿宋_GB2312" w:cs="仿宋_GB2312"/>
          <w:color w:val="auto"/>
          <w:sz w:val="32"/>
          <w:szCs w:val="32"/>
          <w:lang w:val="en-US" w:eastAsia="zh-CN"/>
        </w:rPr>
        <w:t>追加</w:t>
      </w:r>
      <w:r>
        <w:rPr>
          <w:rFonts w:hint="eastAsia" w:ascii="仿宋_GB2312" w:hAnsi="仿宋_GB2312" w:eastAsia="仿宋_GB2312" w:cs="仿宋_GB2312"/>
          <w:b w:val="0"/>
          <w:bCs w:val="0"/>
          <w:color w:val="auto"/>
          <w:w w:val="100"/>
          <w:kern w:val="2"/>
          <w:sz w:val="32"/>
          <w:szCs w:val="32"/>
          <w:lang w:val="en-US" w:eastAsia="zh-CN" w:bidi="ar-SA"/>
        </w:rPr>
        <w:t>技能大师工作室补助资金9万元。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资金到位。</w:t>
      </w:r>
      <w:r>
        <w:rPr>
          <w:rFonts w:hint="eastAsia" w:ascii="仿宋_GB2312" w:hAnsi="仿宋_GB2312" w:eastAsia="仿宋_GB2312" w:cs="仿宋_GB2312"/>
          <w:b w:val="0"/>
          <w:bCs w:val="0"/>
          <w:sz w:val="32"/>
          <w:szCs w:val="32"/>
          <w:lang w:val="zh-CN"/>
        </w:rPr>
        <w:t>该项目资金到位</w:t>
      </w:r>
      <w:r>
        <w:rPr>
          <w:rFonts w:hint="eastAsia" w:ascii="仿宋_GB2312" w:hAnsi="仿宋_GB2312" w:eastAsia="仿宋_GB2312" w:cs="仿宋_GB2312"/>
          <w:color w:val="auto"/>
          <w:sz w:val="32"/>
          <w:szCs w:val="32"/>
          <w:lang w:val="en-US" w:eastAsia="zh-CN"/>
        </w:rPr>
        <w:t>9万元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资金到位率</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100%</w:t>
      </w:r>
      <w:r>
        <w:rPr>
          <w:rFonts w:hint="eastAsia" w:ascii="仿宋_GB2312" w:hAnsi="仿宋_GB2312" w:eastAsia="仿宋_GB2312" w:cs="仿宋_GB2312"/>
          <w:b w:val="0"/>
          <w:bCs w:val="0"/>
          <w:sz w:val="32"/>
          <w:szCs w:val="32"/>
          <w:lang w:val="zh-CN"/>
        </w:rPr>
        <w:t>，为本级财政拨款资金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3.</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资金使用。使用资金</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9万</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w:t>
      </w:r>
      <w:r>
        <w:rPr>
          <w:rFonts w:hint="eastAsia" w:ascii="仿宋_GB2312" w:hAnsi="仿宋_GB2312" w:eastAsia="仿宋_GB2312" w:cs="仿宋_GB2312"/>
          <w:sz w:val="32"/>
          <w:szCs w:val="32"/>
        </w:rPr>
        <w:t>2020年开展第四批广元市技能大师工作室推荐评选，共评选</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个市级技能大师工作室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一次性建设补助资金3万元/个，共支出9万元</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hint="eastAsia" w:ascii="楷体_GB2312" w:hAnsi="宋体" w:eastAsia="楷体_GB2312"/>
          <w:b w:val="0"/>
          <w:bCs w:val="0"/>
          <w:color w:val="auto"/>
          <w:sz w:val="32"/>
          <w:szCs w:val="32"/>
          <w:highlight w:val="none"/>
          <w:u w:val="none"/>
          <w:lang w:val="en-US" w:eastAsia="zh-CN"/>
        </w:rPr>
      </w:pPr>
      <w:r>
        <w:rPr>
          <w:rFonts w:hint="eastAsia" w:ascii="楷体_GB2312" w:hAnsi="宋体" w:eastAsia="楷体_GB2312"/>
          <w:b w:val="0"/>
          <w:bCs w:val="0"/>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宋体" w:eastAsia="仿宋_GB2312" w:cs="仿宋_GB2312"/>
          <w:color w:val="auto"/>
          <w:sz w:val="32"/>
          <w:szCs w:val="32"/>
          <w:lang w:val="zh-CN"/>
        </w:rPr>
      </w:pPr>
      <w:r>
        <w:rPr>
          <w:rFonts w:hint="eastAsia" w:ascii="仿宋_GB2312" w:hAnsi="仿宋_GB2312" w:eastAsia="仿宋_GB2312" w:cs="仿宋_GB2312"/>
          <w:sz w:val="32"/>
          <w:szCs w:val="32"/>
          <w:lang w:val="zh-CN"/>
        </w:rPr>
        <w:t>建</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zh-CN"/>
        </w:rPr>
        <w:t>健全的内部控制制度，内部控制管理运行有效。</w:t>
      </w:r>
      <w:r>
        <w:rPr>
          <w:rFonts w:hint="eastAsia" w:ascii="仿宋_GB2312" w:hAnsi="仿宋_GB2312" w:eastAsia="仿宋_GB2312" w:cs="仿宋_GB2312"/>
          <w:sz w:val="32"/>
          <w:szCs w:val="32"/>
          <w:lang w:val="en-US" w:eastAsia="zh-CN"/>
        </w:rPr>
        <w:t>项目资金按照统一的</w:t>
      </w:r>
      <w:r>
        <w:rPr>
          <w:rFonts w:hint="eastAsia" w:ascii="仿宋_GB2312" w:hAnsi="仿宋_GB2312" w:eastAsia="仿宋_GB2312" w:cs="仿宋_GB2312"/>
          <w:sz w:val="32"/>
          <w:szCs w:val="32"/>
          <w:lang w:val="zh-CN"/>
        </w:rPr>
        <w:t>财务管理制度</w:t>
      </w:r>
      <w:r>
        <w:rPr>
          <w:rFonts w:hint="eastAsia" w:ascii="仿宋_GB2312" w:hAnsi="仿宋_GB2312" w:eastAsia="仿宋_GB2312" w:cs="仿宋_GB2312"/>
          <w:sz w:val="32"/>
          <w:szCs w:val="32"/>
          <w:lang w:val="en-US" w:eastAsia="zh-CN"/>
        </w:rPr>
        <w:t>进行管理</w:t>
      </w:r>
      <w:r>
        <w:rPr>
          <w:rFonts w:hint="eastAsia" w:ascii="仿宋_GB2312" w:hAnsi="仿宋_GB2312" w:eastAsia="仿宋_GB2312" w:cs="仿宋_GB2312"/>
          <w:sz w:val="32"/>
          <w:szCs w:val="32"/>
          <w:lang w:val="zh-CN"/>
        </w:rPr>
        <w:t>，设</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zh-CN"/>
        </w:rPr>
        <w:t>项目管理机构，会计核算及账务处理</w:t>
      </w:r>
      <w:r>
        <w:rPr>
          <w:rFonts w:hint="eastAsia" w:ascii="仿宋_GB2312" w:hAnsi="仿宋_GB2312" w:eastAsia="仿宋_GB2312" w:cs="仿宋_GB2312"/>
          <w:sz w:val="32"/>
          <w:szCs w:val="32"/>
          <w:lang w:val="en-US" w:eastAsia="zh-CN"/>
        </w:rPr>
        <w:t>准确、规范</w:t>
      </w:r>
      <w:r>
        <w:rPr>
          <w:rFonts w:hint="eastAsia" w:ascii="仿宋_GB2312" w:hAnsi="仿宋_GB2312" w:eastAsia="仿宋_GB2312" w:cs="仿宋_GB2312"/>
          <w:sz w:val="32"/>
          <w:szCs w:val="32"/>
          <w:lang w:val="zh-CN"/>
        </w:rPr>
        <w:t>、专款专用</w:t>
      </w:r>
      <w:r>
        <w:rPr>
          <w:rFonts w:hint="eastAsia" w:ascii="仿宋_GB2312" w:hAnsi="宋体" w:eastAsia="仿宋_GB2312" w:cs="仿宋_GB2312"/>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55" w:name="_Toc30516"/>
      <w:bookmarkStart w:id="256" w:name="_Toc5252"/>
      <w:bookmarkStart w:id="257" w:name="_Toc5648"/>
      <w:bookmarkStart w:id="258" w:name="_Toc28461"/>
      <w:r>
        <w:rPr>
          <w:rFonts w:hint="eastAsia" w:ascii="黑体" w:hAnsi="宋体" w:eastAsia="黑体"/>
          <w:b w:val="0"/>
          <w:bCs w:val="0"/>
          <w:color w:val="auto"/>
          <w:sz w:val="32"/>
          <w:szCs w:val="32"/>
          <w:highlight w:val="none"/>
          <w:u w:val="none"/>
        </w:rPr>
        <w:t>三、项目实施及管理情况</w:t>
      </w:r>
      <w:bookmarkEnd w:id="255"/>
      <w:bookmarkEnd w:id="256"/>
      <w:bookmarkEnd w:id="257"/>
      <w:bookmarkEnd w:id="258"/>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（一）项目组织架构及实施流程。</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职业能力建设科设</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科长</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1名，工作人员2名。科长负责审核管理项目，工作人员负责项目的具体实施。</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（二）项目管理情况。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严格按照《关于开展广元市技能大师工作室建设工作的通知》（广人社发〔2014〕6号）等相关管理规定，开展第四批技能大师工作室补助金拨付等工作。</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楷体_GB2312" w:hAnsi="宋体" w:eastAsia="楷体_GB2312"/>
          <w:b w:val="0"/>
          <w:bCs w:val="0"/>
          <w:color w:val="auto"/>
          <w:sz w:val="32"/>
          <w:szCs w:val="32"/>
          <w:highlight w:val="none"/>
          <w:u w:val="none"/>
          <w:lang w:val="zh-CN"/>
        </w:rPr>
        <w:t>（三）项目监管情况。</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联合市委组织部、市经济信息化局、市科技局、市财政局组织专家对推荐申报的广元市技能大师工作室进行实地考察和综合评议</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资金拨付名单、金额等由局务会审议通过后严格按标准执行。</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1"/>
        <w:rPr>
          <w:rFonts w:ascii="仿宋_GB2312" w:hAnsi="宋体"/>
          <w:b w:val="0"/>
          <w:bCs w:val="0"/>
          <w:color w:val="auto"/>
          <w:sz w:val="32"/>
          <w:szCs w:val="32"/>
          <w:highlight w:val="none"/>
          <w:u w:val="none"/>
          <w:lang w:val="zh-CN"/>
        </w:rPr>
      </w:pPr>
      <w:bookmarkStart w:id="259" w:name="_Toc3046"/>
      <w:bookmarkStart w:id="260" w:name="_Toc4531"/>
      <w:bookmarkStart w:id="261" w:name="_Toc32567"/>
      <w:bookmarkStart w:id="262" w:name="_Toc713"/>
      <w:r>
        <w:rPr>
          <w:rFonts w:hint="eastAsia" w:ascii="黑体" w:hAnsi="宋体" w:eastAsia="黑体"/>
          <w:b w:val="0"/>
          <w:bCs w:val="0"/>
          <w:color w:val="auto"/>
          <w:sz w:val="32"/>
          <w:szCs w:val="32"/>
          <w:highlight w:val="none"/>
          <w:u w:val="none"/>
        </w:rPr>
        <w:t>四、项目绩效情况</w:t>
      </w:r>
      <w:bookmarkEnd w:id="259"/>
      <w:bookmarkEnd w:id="260"/>
      <w:bookmarkEnd w:id="261"/>
      <w:bookmarkEnd w:id="262"/>
      <w:r>
        <w:rPr>
          <w:rFonts w:hint="eastAsia" w:ascii="仿宋_GB2312" w:hAnsi="宋体"/>
          <w:b w:val="0"/>
          <w:bCs w:val="0"/>
          <w:color w:val="auto"/>
          <w:sz w:val="32"/>
          <w:szCs w:val="32"/>
          <w:highlight w:val="none"/>
          <w:u w:val="none"/>
          <w:lang w:val="zh-CN"/>
        </w:rPr>
        <w:tab/>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对照预算绩效目标，向3个技能大师工作室反方一次性补助，补助标准：3万元/个，共拨付资金9万元，有效提高技能大师工作的建设水平，提升劳动者职业技能能力。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为技能领军人才创造良好环境、提供交流平台，有效提高技能大师工作的建设水平，更好发挥其带徒传技、技能攻关、技艺传承的作用，有效整合高技能人才培养资源，提升劳动者职业技能能力。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1"/>
        <w:rPr>
          <w:rFonts w:ascii="黑体" w:hAnsi="宋体" w:eastAsia="黑体"/>
          <w:b w:val="0"/>
          <w:bCs w:val="0"/>
          <w:color w:val="auto"/>
          <w:sz w:val="32"/>
          <w:szCs w:val="32"/>
          <w:highlight w:val="none"/>
          <w:u w:val="none"/>
        </w:rPr>
      </w:pPr>
      <w:bookmarkStart w:id="263" w:name="_Toc28404"/>
      <w:bookmarkStart w:id="264" w:name="_Toc25449"/>
      <w:bookmarkStart w:id="265" w:name="_Toc22242"/>
      <w:bookmarkStart w:id="266" w:name="_Toc11966"/>
      <w:r>
        <w:rPr>
          <w:rFonts w:hint="eastAsia" w:ascii="黑体" w:hAnsi="宋体" w:eastAsia="黑体"/>
          <w:b w:val="0"/>
          <w:bCs w:val="0"/>
          <w:color w:val="auto"/>
          <w:sz w:val="32"/>
          <w:szCs w:val="32"/>
          <w:highlight w:val="none"/>
          <w:u w:val="none"/>
        </w:rPr>
        <w:t>五、评价结论及建议</w:t>
      </w:r>
      <w:bookmarkEnd w:id="263"/>
      <w:bookmarkEnd w:id="264"/>
      <w:bookmarkEnd w:id="265"/>
      <w:bookmarkEnd w:id="266"/>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按时拨付第四批市级技能大师工作室的建设补助资金，有效提高技能大师工作的建设水平，引领广元市高技能人才队伍不断壮大，总体评价得100分。</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outlineLvl w:val="2"/>
        <w:rPr>
          <w:rFonts w:ascii="楷体_GB2312" w:hAnsi="宋体" w:eastAsia="楷体_GB2312"/>
          <w:b w:val="0"/>
          <w:bCs w:val="0"/>
          <w:color w:val="auto"/>
          <w:sz w:val="32"/>
          <w:szCs w:val="32"/>
          <w:highlight w:val="none"/>
          <w:u w:val="none"/>
          <w:lang w:val="zh-CN"/>
        </w:rPr>
      </w:pPr>
      <w:r>
        <w:rPr>
          <w:rFonts w:hint="eastAsia" w:ascii="楷体_GB2312" w:hAnsi="宋体" w:eastAsia="楷体_GB2312"/>
          <w:b w:val="0"/>
          <w:bCs w:val="0"/>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无。</w:t>
      </w:r>
    </w:p>
    <w:p>
      <w:pPr>
        <w:rPr>
          <w:rFonts w:hint="eastAsia"/>
        </w:rPr>
      </w:pPr>
      <w:r>
        <w:rPr>
          <w:rFonts w:hint="eastAsia"/>
        </w:rPr>
        <w:br w:type="page"/>
      </w:r>
    </w:p>
    <w:p>
      <w:pPr>
        <w:spacing w:line="600" w:lineRule="exact"/>
        <w:jc w:val="center"/>
        <w:outlineLvl w:val="0"/>
        <w:rPr>
          <w:rFonts w:hint="eastAsia" w:ascii="仿宋" w:hAnsi="仿宋" w:eastAsia="仿宋"/>
          <w:b w:val="0"/>
          <w:color w:val="auto"/>
          <w:highlight w:val="none"/>
        </w:rPr>
      </w:pPr>
      <w:bookmarkStart w:id="267" w:name="_Toc15396618"/>
      <w:bookmarkStart w:id="268" w:name="_Toc6944"/>
      <w:r>
        <w:rPr>
          <w:rFonts w:hint="eastAsia" w:ascii="黑体" w:hAnsi="黑体" w:eastAsia="黑体"/>
          <w:color w:val="auto"/>
          <w:sz w:val="44"/>
          <w:szCs w:val="44"/>
          <w:highlight w:val="none"/>
        </w:rPr>
        <w:t>第</w:t>
      </w:r>
      <w:r>
        <w:rPr>
          <w:rStyle w:val="20"/>
          <w:rFonts w:hint="eastAsia" w:ascii="黑体" w:hAnsi="黑体" w:eastAsia="黑体"/>
          <w:b w:val="0"/>
          <w:color w:val="auto"/>
          <w:highlight w:val="none"/>
        </w:rPr>
        <w:t>五部分 附表</w:t>
      </w:r>
      <w:bookmarkEnd w:id="267"/>
      <w:bookmarkEnd w:id="268"/>
    </w:p>
    <w:p>
      <w:pPr>
        <w:rPr>
          <w:rFonts w:hint="eastAsia"/>
        </w:rPr>
      </w:pPr>
    </w:p>
    <w:p>
      <w:pPr>
        <w:pStyle w:val="4"/>
        <w:rPr>
          <w:rStyle w:val="21"/>
          <w:rFonts w:hint="eastAsia" w:ascii="黑体" w:hAnsi="黑体" w:eastAsia="黑体" w:cs="黑体"/>
          <w:b w:val="0"/>
          <w:bCs w:val="0"/>
          <w:color w:val="auto"/>
          <w:highlight w:val="none"/>
          <w:lang w:val="en-US" w:eastAsia="zh-CN"/>
        </w:rPr>
      </w:pPr>
      <w:bookmarkStart w:id="269" w:name="_Toc27957"/>
      <w:bookmarkStart w:id="270" w:name="_Toc21412"/>
      <w:r>
        <w:rPr>
          <w:rStyle w:val="21"/>
          <w:rFonts w:hint="eastAsia" w:ascii="黑体" w:hAnsi="黑体" w:eastAsia="黑体" w:cs="黑体"/>
          <w:b w:val="0"/>
          <w:bCs w:val="0"/>
          <w:color w:val="auto"/>
          <w:highlight w:val="none"/>
          <w:lang w:val="en-US" w:eastAsia="zh-CN"/>
        </w:rPr>
        <w:t>一、收入支出决算总表</w:t>
      </w:r>
      <w:bookmarkEnd w:id="269"/>
      <w:bookmarkEnd w:id="270"/>
    </w:p>
    <w:p>
      <w:pPr>
        <w:pStyle w:val="4"/>
        <w:rPr>
          <w:rStyle w:val="21"/>
          <w:rFonts w:hint="eastAsia" w:ascii="黑体" w:hAnsi="黑体" w:eastAsia="黑体" w:cs="黑体"/>
          <w:b w:val="0"/>
          <w:bCs w:val="0"/>
          <w:color w:val="auto"/>
          <w:highlight w:val="none"/>
        </w:rPr>
      </w:pPr>
      <w:bookmarkStart w:id="271" w:name="_Toc25688"/>
      <w:bookmarkStart w:id="272" w:name="_Toc9579"/>
      <w:r>
        <w:rPr>
          <w:rStyle w:val="21"/>
          <w:rFonts w:hint="eastAsia" w:ascii="黑体" w:hAnsi="黑体" w:eastAsia="黑体" w:cs="黑体"/>
          <w:b w:val="0"/>
          <w:bCs w:val="0"/>
          <w:color w:val="auto"/>
          <w:highlight w:val="none"/>
        </w:rPr>
        <w:t>二、收入决算表</w:t>
      </w:r>
      <w:bookmarkEnd w:id="150"/>
      <w:bookmarkEnd w:id="271"/>
      <w:bookmarkEnd w:id="272"/>
    </w:p>
    <w:p>
      <w:pPr>
        <w:pStyle w:val="4"/>
        <w:rPr>
          <w:rStyle w:val="21"/>
          <w:rFonts w:hint="eastAsia" w:ascii="黑体" w:hAnsi="黑体" w:eastAsia="黑体" w:cs="黑体"/>
          <w:b w:val="0"/>
          <w:bCs w:val="0"/>
          <w:color w:val="auto"/>
          <w:highlight w:val="none"/>
        </w:rPr>
      </w:pPr>
      <w:bookmarkStart w:id="273" w:name="_Toc15396621"/>
      <w:bookmarkStart w:id="274" w:name="_Toc12495"/>
      <w:bookmarkStart w:id="275" w:name="_Toc26320"/>
      <w:r>
        <w:rPr>
          <w:rStyle w:val="21"/>
          <w:rFonts w:hint="eastAsia" w:ascii="黑体" w:hAnsi="黑体" w:eastAsia="黑体" w:cs="黑体"/>
          <w:b w:val="0"/>
          <w:bCs w:val="0"/>
          <w:color w:val="auto"/>
          <w:highlight w:val="none"/>
        </w:rPr>
        <w:t>三、支出决算表</w:t>
      </w:r>
      <w:bookmarkEnd w:id="273"/>
      <w:bookmarkEnd w:id="274"/>
      <w:bookmarkEnd w:id="275"/>
    </w:p>
    <w:p>
      <w:pPr>
        <w:pStyle w:val="4"/>
        <w:rPr>
          <w:rFonts w:hint="eastAsia" w:ascii="黑体" w:hAnsi="黑体" w:eastAsia="黑体" w:cs="黑体"/>
          <w:b w:val="0"/>
          <w:color w:val="auto"/>
          <w:highlight w:val="none"/>
        </w:rPr>
      </w:pPr>
      <w:bookmarkStart w:id="276" w:name="_Toc21815"/>
      <w:bookmarkStart w:id="277" w:name="_Toc15396622"/>
      <w:bookmarkStart w:id="278" w:name="_Toc17510"/>
      <w:r>
        <w:rPr>
          <w:rStyle w:val="21"/>
          <w:rFonts w:hint="eastAsia" w:ascii="黑体" w:hAnsi="黑体" w:eastAsia="黑体" w:cs="黑体"/>
          <w:b w:val="0"/>
          <w:bCs w:val="0"/>
          <w:color w:val="auto"/>
          <w:highlight w:val="none"/>
        </w:rPr>
        <w:t>四、</w:t>
      </w:r>
      <w:r>
        <w:rPr>
          <w:rFonts w:hint="eastAsia" w:ascii="黑体" w:hAnsi="黑体" w:eastAsia="黑体" w:cs="黑体"/>
          <w:b w:val="0"/>
          <w:color w:val="auto"/>
          <w:highlight w:val="none"/>
        </w:rPr>
        <w:t>财</w:t>
      </w:r>
      <w:r>
        <w:rPr>
          <w:rStyle w:val="21"/>
          <w:rFonts w:hint="eastAsia" w:ascii="黑体" w:hAnsi="黑体" w:eastAsia="黑体" w:cs="黑体"/>
          <w:b w:val="0"/>
          <w:bCs w:val="0"/>
          <w:color w:val="auto"/>
          <w:highlight w:val="none"/>
        </w:rPr>
        <w:t>政拨款收入支出决算总表</w:t>
      </w:r>
      <w:bookmarkEnd w:id="276"/>
      <w:bookmarkEnd w:id="277"/>
      <w:bookmarkEnd w:id="278"/>
    </w:p>
    <w:p>
      <w:pPr>
        <w:pStyle w:val="4"/>
        <w:rPr>
          <w:rStyle w:val="21"/>
          <w:rFonts w:hint="eastAsia" w:ascii="黑体" w:hAnsi="黑体" w:eastAsia="黑体" w:cs="黑体"/>
          <w:b w:val="0"/>
          <w:bCs w:val="0"/>
          <w:color w:val="auto"/>
          <w:highlight w:val="none"/>
        </w:rPr>
      </w:pPr>
      <w:bookmarkStart w:id="279" w:name="_Toc11336"/>
      <w:bookmarkStart w:id="280" w:name="_Toc15396623"/>
      <w:bookmarkStart w:id="281" w:name="_Toc13443"/>
      <w:r>
        <w:rPr>
          <w:rStyle w:val="21"/>
          <w:rFonts w:hint="eastAsia" w:ascii="黑体" w:hAnsi="黑体" w:eastAsia="黑体" w:cs="黑体"/>
          <w:b w:val="0"/>
          <w:bCs w:val="0"/>
          <w:color w:val="auto"/>
          <w:highlight w:val="none"/>
        </w:rPr>
        <w:t>五、</w:t>
      </w:r>
      <w:r>
        <w:rPr>
          <w:rFonts w:hint="eastAsia" w:ascii="黑体" w:hAnsi="黑体" w:eastAsia="黑体" w:cs="黑体"/>
          <w:b w:val="0"/>
          <w:color w:val="auto"/>
          <w:highlight w:val="none"/>
        </w:rPr>
        <w:t>财</w:t>
      </w:r>
      <w:r>
        <w:rPr>
          <w:rStyle w:val="21"/>
          <w:rFonts w:hint="eastAsia" w:ascii="黑体" w:hAnsi="黑体" w:eastAsia="黑体" w:cs="黑体"/>
          <w:b w:val="0"/>
          <w:bCs w:val="0"/>
          <w:color w:val="auto"/>
          <w:highlight w:val="none"/>
        </w:rPr>
        <w:t>政拨款支出决算明细表</w:t>
      </w:r>
      <w:bookmarkEnd w:id="279"/>
      <w:bookmarkEnd w:id="280"/>
      <w:bookmarkEnd w:id="281"/>
      <w:bookmarkStart w:id="282" w:name="_Toc15396624"/>
    </w:p>
    <w:p>
      <w:pPr>
        <w:pStyle w:val="4"/>
        <w:rPr>
          <w:rFonts w:hint="eastAsia" w:ascii="黑体" w:hAnsi="黑体" w:eastAsia="黑体" w:cs="黑体"/>
          <w:color w:val="auto"/>
          <w:highlight w:val="none"/>
        </w:rPr>
      </w:pPr>
      <w:bookmarkStart w:id="283" w:name="_Toc16129"/>
      <w:bookmarkStart w:id="284" w:name="_Toc29990"/>
      <w:r>
        <w:rPr>
          <w:rStyle w:val="21"/>
          <w:rFonts w:hint="eastAsia" w:ascii="黑体" w:hAnsi="黑体" w:eastAsia="黑体" w:cs="黑体"/>
          <w:b w:val="0"/>
          <w:bCs w:val="0"/>
          <w:color w:val="auto"/>
          <w:highlight w:val="none"/>
        </w:rPr>
        <w:t>六、</w:t>
      </w:r>
      <w:r>
        <w:rPr>
          <w:rFonts w:hint="eastAsia" w:ascii="黑体" w:hAnsi="黑体" w:eastAsia="黑体" w:cs="黑体"/>
          <w:b w:val="0"/>
          <w:color w:val="auto"/>
          <w:highlight w:val="none"/>
        </w:rPr>
        <w:t>一</w:t>
      </w:r>
      <w:r>
        <w:rPr>
          <w:rStyle w:val="21"/>
          <w:rFonts w:hint="eastAsia" w:ascii="黑体" w:hAnsi="黑体" w:eastAsia="黑体" w:cs="黑体"/>
          <w:b w:val="0"/>
          <w:bCs w:val="0"/>
          <w:color w:val="auto"/>
          <w:highlight w:val="none"/>
        </w:rPr>
        <w:t>般公共预算财政拨款支出决算表</w:t>
      </w:r>
      <w:bookmarkEnd w:id="282"/>
      <w:bookmarkEnd w:id="283"/>
      <w:bookmarkEnd w:id="284"/>
    </w:p>
    <w:p>
      <w:pPr>
        <w:pStyle w:val="4"/>
        <w:rPr>
          <w:rFonts w:hint="eastAsia" w:ascii="黑体" w:hAnsi="黑体" w:eastAsia="黑体" w:cs="黑体"/>
          <w:color w:val="auto"/>
          <w:highlight w:val="none"/>
        </w:rPr>
      </w:pPr>
      <w:bookmarkStart w:id="285" w:name="_Toc15396625"/>
      <w:bookmarkStart w:id="286" w:name="_Toc8071"/>
      <w:bookmarkStart w:id="287" w:name="_Toc28344"/>
      <w:r>
        <w:rPr>
          <w:rStyle w:val="21"/>
          <w:rFonts w:hint="eastAsia" w:ascii="黑体" w:hAnsi="黑体" w:eastAsia="黑体" w:cs="黑体"/>
          <w:b w:val="0"/>
          <w:bCs w:val="0"/>
          <w:color w:val="auto"/>
          <w:highlight w:val="none"/>
        </w:rPr>
        <w:t>七、</w:t>
      </w:r>
      <w:r>
        <w:rPr>
          <w:rFonts w:hint="eastAsia" w:ascii="黑体" w:hAnsi="黑体" w:eastAsia="黑体" w:cs="黑体"/>
          <w:b w:val="0"/>
          <w:color w:val="auto"/>
          <w:highlight w:val="none"/>
        </w:rPr>
        <w:t>一</w:t>
      </w:r>
      <w:r>
        <w:rPr>
          <w:rStyle w:val="21"/>
          <w:rFonts w:hint="eastAsia" w:ascii="黑体" w:hAnsi="黑体" w:eastAsia="黑体" w:cs="黑体"/>
          <w:b w:val="0"/>
          <w:bCs w:val="0"/>
          <w:color w:val="auto"/>
          <w:highlight w:val="none"/>
        </w:rPr>
        <w:t>般公共预算财政拨款支出决算明细表</w:t>
      </w:r>
      <w:bookmarkEnd w:id="285"/>
      <w:bookmarkEnd w:id="286"/>
      <w:bookmarkEnd w:id="287"/>
    </w:p>
    <w:p>
      <w:pPr>
        <w:pStyle w:val="4"/>
        <w:rPr>
          <w:rFonts w:hint="eastAsia" w:ascii="黑体" w:hAnsi="黑体" w:eastAsia="黑体" w:cs="黑体"/>
          <w:color w:val="auto"/>
          <w:highlight w:val="none"/>
        </w:rPr>
      </w:pPr>
      <w:bookmarkStart w:id="288" w:name="_Toc15396626"/>
      <w:bookmarkStart w:id="289" w:name="_Toc4841"/>
      <w:bookmarkStart w:id="290" w:name="_Toc1000"/>
      <w:r>
        <w:rPr>
          <w:rStyle w:val="21"/>
          <w:rFonts w:hint="eastAsia" w:ascii="黑体" w:hAnsi="黑体" w:eastAsia="黑体" w:cs="黑体"/>
          <w:b w:val="0"/>
          <w:bCs w:val="0"/>
          <w:color w:val="auto"/>
          <w:highlight w:val="none"/>
        </w:rPr>
        <w:t>八、</w:t>
      </w:r>
      <w:r>
        <w:rPr>
          <w:rFonts w:hint="eastAsia" w:ascii="黑体" w:hAnsi="黑体" w:eastAsia="黑体" w:cs="黑体"/>
          <w:b w:val="0"/>
          <w:color w:val="auto"/>
          <w:highlight w:val="none"/>
        </w:rPr>
        <w:t>一</w:t>
      </w:r>
      <w:r>
        <w:rPr>
          <w:rStyle w:val="21"/>
          <w:rFonts w:hint="eastAsia" w:ascii="黑体" w:hAnsi="黑体" w:eastAsia="黑体" w:cs="黑体"/>
          <w:b w:val="0"/>
          <w:bCs w:val="0"/>
          <w:color w:val="auto"/>
          <w:highlight w:val="none"/>
        </w:rPr>
        <w:t>般公共预算财政拨款基本支出决算表</w:t>
      </w:r>
      <w:bookmarkEnd w:id="288"/>
      <w:bookmarkEnd w:id="289"/>
      <w:bookmarkEnd w:id="290"/>
    </w:p>
    <w:p>
      <w:pPr>
        <w:pStyle w:val="4"/>
        <w:rPr>
          <w:rFonts w:hint="eastAsia" w:ascii="黑体" w:hAnsi="黑体" w:eastAsia="黑体" w:cs="黑体"/>
          <w:color w:val="auto"/>
          <w:highlight w:val="none"/>
        </w:rPr>
      </w:pPr>
      <w:bookmarkStart w:id="291" w:name="_Toc15396627"/>
      <w:bookmarkStart w:id="292" w:name="_Toc5356"/>
      <w:bookmarkStart w:id="293" w:name="_Toc27014"/>
      <w:r>
        <w:rPr>
          <w:rStyle w:val="21"/>
          <w:rFonts w:hint="eastAsia" w:ascii="黑体" w:hAnsi="黑体" w:eastAsia="黑体" w:cs="黑体"/>
          <w:b w:val="0"/>
          <w:bCs w:val="0"/>
          <w:color w:val="auto"/>
          <w:highlight w:val="none"/>
        </w:rPr>
        <w:t>九、</w:t>
      </w:r>
      <w:r>
        <w:rPr>
          <w:rFonts w:hint="eastAsia" w:ascii="黑体" w:hAnsi="黑体" w:eastAsia="黑体" w:cs="黑体"/>
          <w:b w:val="0"/>
          <w:color w:val="auto"/>
          <w:highlight w:val="none"/>
        </w:rPr>
        <w:t>一</w:t>
      </w:r>
      <w:r>
        <w:rPr>
          <w:rStyle w:val="21"/>
          <w:rFonts w:hint="eastAsia" w:ascii="黑体" w:hAnsi="黑体" w:eastAsia="黑体" w:cs="黑体"/>
          <w:b w:val="0"/>
          <w:bCs w:val="0"/>
          <w:color w:val="auto"/>
          <w:highlight w:val="none"/>
        </w:rPr>
        <w:t>般公共预算财政拨款项目支出决算表</w:t>
      </w:r>
      <w:bookmarkEnd w:id="291"/>
      <w:bookmarkEnd w:id="292"/>
      <w:bookmarkEnd w:id="293"/>
    </w:p>
    <w:p>
      <w:pPr>
        <w:pStyle w:val="4"/>
        <w:rPr>
          <w:rFonts w:hint="eastAsia" w:ascii="黑体" w:hAnsi="黑体" w:eastAsia="黑体" w:cs="黑体"/>
          <w:color w:val="auto"/>
          <w:highlight w:val="none"/>
        </w:rPr>
      </w:pPr>
      <w:bookmarkStart w:id="294" w:name="_Toc15396628"/>
      <w:bookmarkStart w:id="295" w:name="_Toc17554"/>
      <w:bookmarkStart w:id="296" w:name="_Toc11606"/>
      <w:r>
        <w:rPr>
          <w:rStyle w:val="21"/>
          <w:rFonts w:hint="eastAsia" w:ascii="黑体" w:hAnsi="黑体" w:eastAsia="黑体" w:cs="黑体"/>
          <w:b w:val="0"/>
          <w:bCs w:val="0"/>
          <w:color w:val="auto"/>
          <w:highlight w:val="none"/>
        </w:rPr>
        <w:t>十、</w:t>
      </w:r>
      <w:bookmarkEnd w:id="294"/>
      <w:r>
        <w:rPr>
          <w:rFonts w:hint="eastAsia" w:ascii="黑体" w:hAnsi="黑体" w:eastAsia="黑体" w:cs="黑体"/>
          <w:b w:val="0"/>
          <w:color w:val="auto"/>
          <w:highlight w:val="none"/>
        </w:rPr>
        <w:t>政</w:t>
      </w:r>
      <w:r>
        <w:rPr>
          <w:rStyle w:val="21"/>
          <w:rFonts w:hint="eastAsia" w:ascii="黑体" w:hAnsi="黑体" w:eastAsia="黑体" w:cs="黑体"/>
          <w:b w:val="0"/>
          <w:bCs w:val="0"/>
          <w:color w:val="auto"/>
          <w:highlight w:val="none"/>
        </w:rPr>
        <w:t>府性基金预算财政拨款收入支出决算表</w:t>
      </w:r>
      <w:bookmarkEnd w:id="295"/>
      <w:bookmarkEnd w:id="296"/>
    </w:p>
    <w:p>
      <w:pPr>
        <w:pStyle w:val="4"/>
        <w:rPr>
          <w:rFonts w:hint="eastAsia" w:ascii="黑体" w:hAnsi="黑体" w:eastAsia="黑体" w:cs="黑体"/>
          <w:color w:val="auto"/>
          <w:highlight w:val="none"/>
        </w:rPr>
      </w:pPr>
      <w:bookmarkStart w:id="297" w:name="_Toc15396629"/>
      <w:bookmarkStart w:id="298" w:name="_Toc23928"/>
      <w:bookmarkStart w:id="299" w:name="_Toc12263"/>
      <w:r>
        <w:rPr>
          <w:rStyle w:val="21"/>
          <w:rFonts w:hint="eastAsia" w:ascii="黑体" w:hAnsi="黑体" w:eastAsia="黑体" w:cs="黑体"/>
          <w:b w:val="0"/>
          <w:bCs w:val="0"/>
          <w:color w:val="auto"/>
          <w:highlight w:val="none"/>
        </w:rPr>
        <w:t>十一、</w:t>
      </w:r>
      <w:bookmarkEnd w:id="297"/>
      <w:r>
        <w:rPr>
          <w:rFonts w:hint="eastAsia" w:ascii="黑体" w:hAnsi="黑体" w:eastAsia="黑体" w:cs="黑体"/>
          <w:b w:val="0"/>
          <w:color w:val="auto"/>
          <w:highlight w:val="none"/>
        </w:rPr>
        <w:t>国</w:t>
      </w:r>
      <w:r>
        <w:rPr>
          <w:rStyle w:val="21"/>
          <w:rFonts w:hint="eastAsia" w:ascii="黑体" w:hAnsi="黑体" w:eastAsia="黑体" w:cs="黑体"/>
          <w:b w:val="0"/>
          <w:bCs w:val="0"/>
          <w:color w:val="auto"/>
          <w:highlight w:val="none"/>
        </w:rPr>
        <w:t>有资本经营预算</w:t>
      </w:r>
      <w:r>
        <w:rPr>
          <w:rStyle w:val="21"/>
          <w:rFonts w:hint="eastAsia" w:ascii="黑体" w:hAnsi="黑体" w:eastAsia="黑体" w:cs="黑体"/>
          <w:b w:val="0"/>
          <w:bCs w:val="0"/>
          <w:color w:val="auto"/>
          <w:highlight w:val="none"/>
          <w:lang w:eastAsia="zh-CN"/>
        </w:rPr>
        <w:t>财政拨款收入</w:t>
      </w:r>
      <w:r>
        <w:rPr>
          <w:rStyle w:val="21"/>
          <w:rFonts w:hint="eastAsia" w:ascii="黑体" w:hAnsi="黑体" w:eastAsia="黑体" w:cs="黑体"/>
          <w:b w:val="0"/>
          <w:bCs w:val="0"/>
          <w:color w:val="auto"/>
          <w:highlight w:val="none"/>
        </w:rPr>
        <w:t>支出决算表</w:t>
      </w:r>
      <w:bookmarkEnd w:id="298"/>
      <w:bookmarkEnd w:id="299"/>
    </w:p>
    <w:p>
      <w:pPr>
        <w:pStyle w:val="4"/>
        <w:rPr>
          <w:rFonts w:hint="eastAsia" w:ascii="黑体" w:hAnsi="黑体" w:eastAsia="黑体" w:cs="黑体"/>
          <w:color w:val="auto"/>
          <w:highlight w:val="none"/>
        </w:rPr>
      </w:pPr>
      <w:bookmarkStart w:id="300" w:name="_Toc15396630"/>
      <w:bookmarkStart w:id="301" w:name="_Toc31289"/>
      <w:bookmarkStart w:id="302" w:name="_Toc152"/>
      <w:r>
        <w:rPr>
          <w:rStyle w:val="21"/>
          <w:rFonts w:hint="eastAsia" w:ascii="黑体" w:hAnsi="黑体" w:eastAsia="黑体" w:cs="黑体"/>
          <w:b w:val="0"/>
          <w:bCs w:val="0"/>
          <w:color w:val="auto"/>
          <w:highlight w:val="none"/>
        </w:rPr>
        <w:t>十二、</w:t>
      </w:r>
      <w:bookmarkEnd w:id="300"/>
      <w:r>
        <w:rPr>
          <w:rStyle w:val="21"/>
          <w:rFonts w:hint="eastAsia" w:ascii="黑体" w:hAnsi="黑体" w:eastAsia="黑体" w:cs="黑体"/>
          <w:b w:val="0"/>
          <w:bCs w:val="0"/>
          <w:color w:val="auto"/>
          <w:highlight w:val="none"/>
          <w:lang w:eastAsia="zh-CN"/>
        </w:rPr>
        <w:t>国有资本经营预算财政拨款支出决算表</w:t>
      </w:r>
      <w:bookmarkEnd w:id="301"/>
      <w:bookmarkEnd w:id="302"/>
    </w:p>
    <w:p>
      <w:pPr>
        <w:pStyle w:val="4"/>
        <w:rPr>
          <w:rFonts w:hint="eastAsia" w:ascii="黑体" w:hAnsi="黑体" w:eastAsia="黑体" w:cs="黑体"/>
          <w:color w:val="auto"/>
          <w:highlight w:val="none"/>
          <w:lang w:eastAsia="zh-CN"/>
        </w:rPr>
      </w:pPr>
      <w:bookmarkStart w:id="303" w:name="_Toc15396631"/>
      <w:bookmarkStart w:id="304" w:name="_Toc18932"/>
      <w:bookmarkStart w:id="305" w:name="_Toc17637"/>
      <w:r>
        <w:rPr>
          <w:rStyle w:val="21"/>
          <w:rFonts w:hint="eastAsia" w:ascii="黑体" w:hAnsi="黑体" w:eastAsia="黑体" w:cs="黑体"/>
          <w:b w:val="0"/>
          <w:bCs w:val="0"/>
          <w:color w:val="auto"/>
          <w:highlight w:val="none"/>
        </w:rPr>
        <w:t>十三、</w:t>
      </w:r>
      <w:bookmarkEnd w:id="303"/>
      <w:r>
        <w:rPr>
          <w:rStyle w:val="21"/>
          <w:rFonts w:hint="eastAsia" w:ascii="黑体" w:hAnsi="黑体" w:eastAsia="黑体" w:cs="黑体"/>
          <w:b w:val="0"/>
          <w:bCs w:val="0"/>
          <w:color w:val="auto"/>
          <w:highlight w:val="none"/>
          <w:lang w:eastAsia="zh-CN"/>
        </w:rPr>
        <w:t>财政拨款“三公”经费支出决算表</w:t>
      </w:r>
      <w:bookmarkEnd w:id="304"/>
      <w:bookmarkEnd w:id="305"/>
    </w:p>
    <w:sectPr>
      <w:headerReference r:id="rId5" w:type="default"/>
      <w:footerReference r:id="rId6"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BD1F3"/>
    <w:multiLevelType w:val="singleLevel"/>
    <w:tmpl w:val="972BD1F3"/>
    <w:lvl w:ilvl="0" w:tentative="0">
      <w:start w:val="1"/>
      <w:numFmt w:val="chineseCounting"/>
      <w:suff w:val="nothing"/>
      <w:lvlText w:val="（%1）"/>
      <w:lvlJc w:val="left"/>
      <w:rPr>
        <w:rFonts w:hint="eastAsia"/>
      </w:rPr>
    </w:lvl>
  </w:abstractNum>
  <w:abstractNum w:abstractNumId="1">
    <w:nsid w:val="B2D9454A"/>
    <w:multiLevelType w:val="singleLevel"/>
    <w:tmpl w:val="B2D9454A"/>
    <w:lvl w:ilvl="0" w:tentative="0">
      <w:start w:val="2"/>
      <w:numFmt w:val="chineseCounting"/>
      <w:suff w:val="nothing"/>
      <w:lvlText w:val="（%1）"/>
      <w:lvlJc w:val="left"/>
      <w:rPr>
        <w:rFonts w:hint="eastAsia"/>
      </w:rPr>
    </w:lvl>
  </w:abstractNum>
  <w:abstractNum w:abstractNumId="2">
    <w:nsid w:val="B71EE2C3"/>
    <w:multiLevelType w:val="singleLevel"/>
    <w:tmpl w:val="B71EE2C3"/>
    <w:lvl w:ilvl="0" w:tentative="0">
      <w:start w:val="2"/>
      <w:numFmt w:val="chineseCounting"/>
      <w:suff w:val="nothing"/>
      <w:lvlText w:val="%1、"/>
      <w:lvlJc w:val="left"/>
      <w:rPr>
        <w:rFonts w:hint="eastAsia"/>
      </w:rPr>
    </w:lvl>
  </w:abstractNum>
  <w:abstractNum w:abstractNumId="3">
    <w:nsid w:val="C69E1F43"/>
    <w:multiLevelType w:val="singleLevel"/>
    <w:tmpl w:val="C69E1F43"/>
    <w:lvl w:ilvl="0" w:tentative="0">
      <w:start w:val="2"/>
      <w:numFmt w:val="chineseCounting"/>
      <w:suff w:val="space"/>
      <w:lvlText w:val="第%1部分"/>
      <w:lvlJc w:val="left"/>
      <w:rPr>
        <w:rFonts w:hint="eastAsia"/>
      </w:rPr>
    </w:lvl>
  </w:abstractNum>
  <w:abstractNum w:abstractNumId="4">
    <w:nsid w:val="CF652CEC"/>
    <w:multiLevelType w:val="singleLevel"/>
    <w:tmpl w:val="CF652CEC"/>
    <w:lvl w:ilvl="0" w:tentative="0">
      <w:start w:val="9"/>
      <w:numFmt w:val="chineseCounting"/>
      <w:suff w:val="nothing"/>
      <w:lvlText w:val="%1、"/>
      <w:lvlJc w:val="left"/>
      <w:rPr>
        <w:rFonts w:hint="eastAsia"/>
      </w:rPr>
    </w:lvl>
  </w:abstractNum>
  <w:abstractNum w:abstractNumId="5">
    <w:nsid w:val="D980DE3E"/>
    <w:multiLevelType w:val="singleLevel"/>
    <w:tmpl w:val="D980DE3E"/>
    <w:lvl w:ilvl="0" w:tentative="0">
      <w:start w:val="2"/>
      <w:numFmt w:val="chineseCounting"/>
      <w:suff w:val="nothing"/>
      <w:lvlText w:val="（%1）"/>
      <w:lvlJc w:val="left"/>
      <w:rPr>
        <w:rFonts w:hint="eastAsia"/>
      </w:rPr>
    </w:lvl>
  </w:abstractNum>
  <w:abstractNum w:abstractNumId="6">
    <w:nsid w:val="DEBEF323"/>
    <w:multiLevelType w:val="singleLevel"/>
    <w:tmpl w:val="DEBEF323"/>
    <w:lvl w:ilvl="0" w:tentative="0">
      <w:start w:val="4"/>
      <w:numFmt w:val="chineseCounting"/>
      <w:suff w:val="nothing"/>
      <w:lvlText w:val="（%1）"/>
      <w:lvlJc w:val="left"/>
      <w:rPr>
        <w:rFonts w:hint="eastAsia"/>
      </w:rPr>
    </w:lvl>
  </w:abstractNum>
  <w:abstractNum w:abstractNumId="7">
    <w:nsid w:val="E1CF000C"/>
    <w:multiLevelType w:val="singleLevel"/>
    <w:tmpl w:val="E1CF000C"/>
    <w:lvl w:ilvl="0" w:tentative="0">
      <w:start w:val="1"/>
      <w:numFmt w:val="chineseCounting"/>
      <w:suff w:val="nothing"/>
      <w:lvlText w:val="（%1）"/>
      <w:lvlJc w:val="left"/>
      <w:rPr>
        <w:rFonts w:hint="eastAsia"/>
      </w:rPr>
    </w:lvl>
  </w:abstractNum>
  <w:abstractNum w:abstractNumId="8">
    <w:nsid w:val="E2FA047D"/>
    <w:multiLevelType w:val="singleLevel"/>
    <w:tmpl w:val="E2FA047D"/>
    <w:lvl w:ilvl="0" w:tentative="0">
      <w:start w:val="3"/>
      <w:numFmt w:val="chineseCounting"/>
      <w:suff w:val="space"/>
      <w:lvlText w:val="第%1部分"/>
      <w:lvlJc w:val="left"/>
      <w:rPr>
        <w:rFonts w:hint="eastAsia"/>
      </w:rPr>
    </w:lvl>
  </w:abstractNum>
  <w:abstractNum w:abstractNumId="9">
    <w:nsid w:val="FBFF4FAC"/>
    <w:multiLevelType w:val="singleLevel"/>
    <w:tmpl w:val="FBFF4FAC"/>
    <w:lvl w:ilvl="0" w:tentative="0">
      <w:start w:val="2"/>
      <w:numFmt w:val="decimal"/>
      <w:suff w:val="nothing"/>
      <w:lvlText w:val="%1．"/>
      <w:lvlJc w:val="left"/>
      <w:rPr>
        <w:rFonts w:hint="default"/>
        <w:color w:val="auto"/>
      </w:rPr>
    </w:lvl>
  </w:abstractNum>
  <w:abstractNum w:abstractNumId="10">
    <w:nsid w:val="FFF674BC"/>
    <w:multiLevelType w:val="singleLevel"/>
    <w:tmpl w:val="FFF674BC"/>
    <w:lvl w:ilvl="0" w:tentative="0">
      <w:start w:val="1"/>
      <w:numFmt w:val="chineseCounting"/>
      <w:suff w:val="nothing"/>
      <w:lvlText w:val="%1、"/>
      <w:lvlJc w:val="left"/>
      <w:rPr>
        <w:rFonts w:hint="eastAsia"/>
      </w:rPr>
    </w:lvl>
  </w:abstractNum>
  <w:abstractNum w:abstractNumId="11">
    <w:nsid w:val="04AA9F1A"/>
    <w:multiLevelType w:val="singleLevel"/>
    <w:tmpl w:val="04AA9F1A"/>
    <w:lvl w:ilvl="0" w:tentative="0">
      <w:start w:val="1"/>
      <w:numFmt w:val="chineseCounting"/>
      <w:suff w:val="nothing"/>
      <w:lvlText w:val="%1、"/>
      <w:lvlJc w:val="left"/>
      <w:rPr>
        <w:rFonts w:hint="eastAsia"/>
      </w:rPr>
    </w:lvl>
  </w:abstractNum>
  <w:abstractNum w:abstractNumId="1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2F6A8BC6"/>
    <w:multiLevelType w:val="singleLevel"/>
    <w:tmpl w:val="2F6A8BC6"/>
    <w:lvl w:ilvl="0" w:tentative="0">
      <w:start w:val="3"/>
      <w:numFmt w:val="chineseCounting"/>
      <w:suff w:val="nothing"/>
      <w:lvlText w:val="（%1）"/>
      <w:lvlJc w:val="left"/>
      <w:pPr>
        <w:ind w:left="800" w:leftChars="0" w:firstLine="0" w:firstLineChars="0"/>
      </w:pPr>
      <w:rPr>
        <w:rFonts w:hint="eastAsia"/>
      </w:rPr>
    </w:lvl>
  </w:abstractNum>
  <w:abstractNum w:abstractNumId="14">
    <w:nsid w:val="5EC4E8E6"/>
    <w:multiLevelType w:val="singleLevel"/>
    <w:tmpl w:val="5EC4E8E6"/>
    <w:lvl w:ilvl="0" w:tentative="0">
      <w:start w:val="10"/>
      <w:numFmt w:val="decimal"/>
      <w:lvlText w:val="%1."/>
      <w:lvlJc w:val="left"/>
      <w:pPr>
        <w:tabs>
          <w:tab w:val="left" w:pos="312"/>
        </w:tabs>
      </w:pPr>
    </w:lvl>
  </w:abstractNum>
  <w:num w:numId="1">
    <w:abstractNumId w:val="11"/>
  </w:num>
  <w:num w:numId="2">
    <w:abstractNumId w:val="3"/>
  </w:num>
  <w:num w:numId="3">
    <w:abstractNumId w:val="12"/>
  </w:num>
  <w:num w:numId="4">
    <w:abstractNumId w:val="4"/>
  </w:num>
  <w:num w:numId="5">
    <w:abstractNumId w:val="8"/>
  </w:num>
  <w:num w:numId="6">
    <w:abstractNumId w:val="10"/>
  </w:num>
  <w:num w:numId="7">
    <w:abstractNumId w:val="0"/>
  </w:num>
  <w:num w:numId="8">
    <w:abstractNumId w:val="14"/>
  </w:num>
  <w:num w:numId="9">
    <w:abstractNumId w:val="5"/>
  </w:num>
  <w:num w:numId="10">
    <w:abstractNumId w:val="6"/>
  </w:num>
  <w:num w:numId="11">
    <w:abstractNumId w:val="1"/>
  </w:num>
  <w:num w:numId="12">
    <w:abstractNumId w:val="9"/>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YmE0NDkwMWZlNjllZTRmMzI5MWJjMmY2OWZmN2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707B"/>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39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5FA9"/>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79DA"/>
    <w:rsid w:val="00CE44F6"/>
    <w:rsid w:val="00CE49DA"/>
    <w:rsid w:val="00CE7B61"/>
    <w:rsid w:val="00D00095"/>
    <w:rsid w:val="00D01278"/>
    <w:rsid w:val="00D114F0"/>
    <w:rsid w:val="00D20620"/>
    <w:rsid w:val="00D254F7"/>
    <w:rsid w:val="00D26091"/>
    <w:rsid w:val="00D2685C"/>
    <w:rsid w:val="00D34E7C"/>
    <w:rsid w:val="00D35489"/>
    <w:rsid w:val="00D36AFE"/>
    <w:rsid w:val="00D51276"/>
    <w:rsid w:val="00D7035F"/>
    <w:rsid w:val="00D9637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605AA"/>
    <w:rsid w:val="012228EE"/>
    <w:rsid w:val="012515C4"/>
    <w:rsid w:val="012670EA"/>
    <w:rsid w:val="015975B8"/>
    <w:rsid w:val="01804A4C"/>
    <w:rsid w:val="01934780"/>
    <w:rsid w:val="019A460B"/>
    <w:rsid w:val="01A544B3"/>
    <w:rsid w:val="01C012ED"/>
    <w:rsid w:val="01D408F4"/>
    <w:rsid w:val="02033711"/>
    <w:rsid w:val="02143E91"/>
    <w:rsid w:val="023A4BFB"/>
    <w:rsid w:val="027C16B8"/>
    <w:rsid w:val="02A46519"/>
    <w:rsid w:val="02EE59E6"/>
    <w:rsid w:val="03391357"/>
    <w:rsid w:val="034A5312"/>
    <w:rsid w:val="038B1487"/>
    <w:rsid w:val="03CB441B"/>
    <w:rsid w:val="042A0CA0"/>
    <w:rsid w:val="04460794"/>
    <w:rsid w:val="04531FA4"/>
    <w:rsid w:val="04AE18D1"/>
    <w:rsid w:val="04B844FD"/>
    <w:rsid w:val="04CE5F5E"/>
    <w:rsid w:val="04D255BF"/>
    <w:rsid w:val="04F3135D"/>
    <w:rsid w:val="05263B5D"/>
    <w:rsid w:val="05290F57"/>
    <w:rsid w:val="05946D18"/>
    <w:rsid w:val="05A401A4"/>
    <w:rsid w:val="05C60398"/>
    <w:rsid w:val="05D610DF"/>
    <w:rsid w:val="061834A6"/>
    <w:rsid w:val="066E0107"/>
    <w:rsid w:val="068B1EC9"/>
    <w:rsid w:val="069441EC"/>
    <w:rsid w:val="075909C0"/>
    <w:rsid w:val="07996F6E"/>
    <w:rsid w:val="07B94814"/>
    <w:rsid w:val="07C82CA9"/>
    <w:rsid w:val="07EA70C4"/>
    <w:rsid w:val="080D690E"/>
    <w:rsid w:val="081B102B"/>
    <w:rsid w:val="085B5738"/>
    <w:rsid w:val="08624EAC"/>
    <w:rsid w:val="0869448C"/>
    <w:rsid w:val="08A92ADB"/>
    <w:rsid w:val="08CB7618"/>
    <w:rsid w:val="08E104C7"/>
    <w:rsid w:val="08F24482"/>
    <w:rsid w:val="08FA1588"/>
    <w:rsid w:val="09000221"/>
    <w:rsid w:val="093856BA"/>
    <w:rsid w:val="09652EA6"/>
    <w:rsid w:val="0969226A"/>
    <w:rsid w:val="098E3229"/>
    <w:rsid w:val="099472E7"/>
    <w:rsid w:val="09A137B2"/>
    <w:rsid w:val="0A081A83"/>
    <w:rsid w:val="0A2032A3"/>
    <w:rsid w:val="0A5B6057"/>
    <w:rsid w:val="0A9652E1"/>
    <w:rsid w:val="0AC57974"/>
    <w:rsid w:val="0B5A630E"/>
    <w:rsid w:val="0B674587"/>
    <w:rsid w:val="0B867103"/>
    <w:rsid w:val="0B9417BC"/>
    <w:rsid w:val="0B981793"/>
    <w:rsid w:val="0BD94D0C"/>
    <w:rsid w:val="0C2B45A8"/>
    <w:rsid w:val="0C7E7DDA"/>
    <w:rsid w:val="0CB35CD6"/>
    <w:rsid w:val="0CEC2F96"/>
    <w:rsid w:val="0CF10A09"/>
    <w:rsid w:val="0D562B05"/>
    <w:rsid w:val="0D892EDB"/>
    <w:rsid w:val="0DB53CD0"/>
    <w:rsid w:val="0DFA7935"/>
    <w:rsid w:val="0E124C7E"/>
    <w:rsid w:val="0E1B7FD7"/>
    <w:rsid w:val="0EA305C9"/>
    <w:rsid w:val="0EAB3DCA"/>
    <w:rsid w:val="0EEE56EB"/>
    <w:rsid w:val="0EFE3455"/>
    <w:rsid w:val="0F4A0448"/>
    <w:rsid w:val="0F98263C"/>
    <w:rsid w:val="101860EC"/>
    <w:rsid w:val="10710382"/>
    <w:rsid w:val="108F5D13"/>
    <w:rsid w:val="10AB4F16"/>
    <w:rsid w:val="10B22749"/>
    <w:rsid w:val="10C055FF"/>
    <w:rsid w:val="113D2012"/>
    <w:rsid w:val="1159304B"/>
    <w:rsid w:val="117A5014"/>
    <w:rsid w:val="118107EC"/>
    <w:rsid w:val="11930590"/>
    <w:rsid w:val="11FA5B6F"/>
    <w:rsid w:val="124949E7"/>
    <w:rsid w:val="128817A8"/>
    <w:rsid w:val="12C47C8B"/>
    <w:rsid w:val="1336140F"/>
    <w:rsid w:val="135F0966"/>
    <w:rsid w:val="1367781A"/>
    <w:rsid w:val="13D50BC4"/>
    <w:rsid w:val="13D824C6"/>
    <w:rsid w:val="13F15336"/>
    <w:rsid w:val="14F275B8"/>
    <w:rsid w:val="153F3306"/>
    <w:rsid w:val="154D0C92"/>
    <w:rsid w:val="156C1118"/>
    <w:rsid w:val="156C55BC"/>
    <w:rsid w:val="157926D5"/>
    <w:rsid w:val="158A3C94"/>
    <w:rsid w:val="159A6FF2"/>
    <w:rsid w:val="15D373E9"/>
    <w:rsid w:val="16145EB2"/>
    <w:rsid w:val="169C3C7F"/>
    <w:rsid w:val="16B077F9"/>
    <w:rsid w:val="16BB723D"/>
    <w:rsid w:val="17017F86"/>
    <w:rsid w:val="171001C9"/>
    <w:rsid w:val="17A4103D"/>
    <w:rsid w:val="184C3483"/>
    <w:rsid w:val="185B3151"/>
    <w:rsid w:val="18736C61"/>
    <w:rsid w:val="193E2DCB"/>
    <w:rsid w:val="198A4263"/>
    <w:rsid w:val="19B80DD0"/>
    <w:rsid w:val="1A3D12D5"/>
    <w:rsid w:val="1A5D25F8"/>
    <w:rsid w:val="1A846F04"/>
    <w:rsid w:val="1ABD2416"/>
    <w:rsid w:val="1BB83309"/>
    <w:rsid w:val="1BD6378F"/>
    <w:rsid w:val="1BE8440E"/>
    <w:rsid w:val="1C204A0A"/>
    <w:rsid w:val="1C382C8E"/>
    <w:rsid w:val="1C5F3784"/>
    <w:rsid w:val="1C6E39C8"/>
    <w:rsid w:val="1CC47A8B"/>
    <w:rsid w:val="1CCC4B92"/>
    <w:rsid w:val="1CDB0CDC"/>
    <w:rsid w:val="1D155CEE"/>
    <w:rsid w:val="1D1C4669"/>
    <w:rsid w:val="1D8A4831"/>
    <w:rsid w:val="1D9B7AAB"/>
    <w:rsid w:val="1DBE272D"/>
    <w:rsid w:val="1DCC309C"/>
    <w:rsid w:val="1DD67A76"/>
    <w:rsid w:val="1DFD03F8"/>
    <w:rsid w:val="1E026ABD"/>
    <w:rsid w:val="1E0C16EA"/>
    <w:rsid w:val="1E0D2131"/>
    <w:rsid w:val="1E8E0351"/>
    <w:rsid w:val="1E9811D0"/>
    <w:rsid w:val="1EA47B74"/>
    <w:rsid w:val="1EB10E9D"/>
    <w:rsid w:val="1F325180"/>
    <w:rsid w:val="1F332CA6"/>
    <w:rsid w:val="1F770DE5"/>
    <w:rsid w:val="1FA140B4"/>
    <w:rsid w:val="1FDF698A"/>
    <w:rsid w:val="1FF35744"/>
    <w:rsid w:val="200F7270"/>
    <w:rsid w:val="2040567B"/>
    <w:rsid w:val="207672EF"/>
    <w:rsid w:val="20EA3839"/>
    <w:rsid w:val="21556F04"/>
    <w:rsid w:val="21D50045"/>
    <w:rsid w:val="21ED538F"/>
    <w:rsid w:val="22DD5403"/>
    <w:rsid w:val="2329689A"/>
    <w:rsid w:val="237815D0"/>
    <w:rsid w:val="23860B96"/>
    <w:rsid w:val="23865A9B"/>
    <w:rsid w:val="2389558B"/>
    <w:rsid w:val="239F090A"/>
    <w:rsid w:val="23B73EA6"/>
    <w:rsid w:val="23C12F77"/>
    <w:rsid w:val="23D031BA"/>
    <w:rsid w:val="240371BF"/>
    <w:rsid w:val="24155071"/>
    <w:rsid w:val="24170DE9"/>
    <w:rsid w:val="241855E7"/>
    <w:rsid w:val="243279D1"/>
    <w:rsid w:val="2443398C"/>
    <w:rsid w:val="24561911"/>
    <w:rsid w:val="248A15BB"/>
    <w:rsid w:val="24F46A34"/>
    <w:rsid w:val="25072C0B"/>
    <w:rsid w:val="252E1312"/>
    <w:rsid w:val="25341526"/>
    <w:rsid w:val="256E2C8A"/>
    <w:rsid w:val="25B83F05"/>
    <w:rsid w:val="25CE197B"/>
    <w:rsid w:val="26543C2E"/>
    <w:rsid w:val="26681488"/>
    <w:rsid w:val="268C786C"/>
    <w:rsid w:val="26C26CF7"/>
    <w:rsid w:val="26D20FF7"/>
    <w:rsid w:val="26D33207"/>
    <w:rsid w:val="271E5FEA"/>
    <w:rsid w:val="27455C6D"/>
    <w:rsid w:val="27604855"/>
    <w:rsid w:val="27765E26"/>
    <w:rsid w:val="27983FEE"/>
    <w:rsid w:val="27A6670B"/>
    <w:rsid w:val="27C9064C"/>
    <w:rsid w:val="27CC1EEA"/>
    <w:rsid w:val="27EE1E60"/>
    <w:rsid w:val="27F959C7"/>
    <w:rsid w:val="283F03EB"/>
    <w:rsid w:val="28445F24"/>
    <w:rsid w:val="288307FB"/>
    <w:rsid w:val="289447B6"/>
    <w:rsid w:val="28A32C4B"/>
    <w:rsid w:val="28E31299"/>
    <w:rsid w:val="28E44227"/>
    <w:rsid w:val="290C6A42"/>
    <w:rsid w:val="292024ED"/>
    <w:rsid w:val="292A511A"/>
    <w:rsid w:val="298130FF"/>
    <w:rsid w:val="29FD04D3"/>
    <w:rsid w:val="2A1C0F07"/>
    <w:rsid w:val="2A8650E5"/>
    <w:rsid w:val="2A9F38E6"/>
    <w:rsid w:val="2B0C2313"/>
    <w:rsid w:val="2BA26157"/>
    <w:rsid w:val="2C2B3683"/>
    <w:rsid w:val="2C581F9E"/>
    <w:rsid w:val="2C6941AB"/>
    <w:rsid w:val="2C8A61B5"/>
    <w:rsid w:val="2CD05FD9"/>
    <w:rsid w:val="2D1934DC"/>
    <w:rsid w:val="2D4D7629"/>
    <w:rsid w:val="2D8E211C"/>
    <w:rsid w:val="2D99461C"/>
    <w:rsid w:val="2D9D235F"/>
    <w:rsid w:val="2DB24B95"/>
    <w:rsid w:val="2DC16930"/>
    <w:rsid w:val="2DEF06E0"/>
    <w:rsid w:val="2DF04E50"/>
    <w:rsid w:val="2E732D46"/>
    <w:rsid w:val="2EED10C4"/>
    <w:rsid w:val="2F040D46"/>
    <w:rsid w:val="2F835584"/>
    <w:rsid w:val="2F8D01B1"/>
    <w:rsid w:val="2F8F217B"/>
    <w:rsid w:val="2F971030"/>
    <w:rsid w:val="2FB67708"/>
    <w:rsid w:val="2FEF6776"/>
    <w:rsid w:val="30000983"/>
    <w:rsid w:val="303F66E2"/>
    <w:rsid w:val="304E33EE"/>
    <w:rsid w:val="305F0957"/>
    <w:rsid w:val="306D4B10"/>
    <w:rsid w:val="307F5D4C"/>
    <w:rsid w:val="30D81900"/>
    <w:rsid w:val="31077AEF"/>
    <w:rsid w:val="31615451"/>
    <w:rsid w:val="31682C84"/>
    <w:rsid w:val="316F3CF2"/>
    <w:rsid w:val="318D31E8"/>
    <w:rsid w:val="319F7F4E"/>
    <w:rsid w:val="31F6203D"/>
    <w:rsid w:val="32132BEF"/>
    <w:rsid w:val="32313075"/>
    <w:rsid w:val="323C70FE"/>
    <w:rsid w:val="325B4596"/>
    <w:rsid w:val="32A9493D"/>
    <w:rsid w:val="32B31CDC"/>
    <w:rsid w:val="3304709D"/>
    <w:rsid w:val="336456CD"/>
    <w:rsid w:val="33E525E4"/>
    <w:rsid w:val="34030A42"/>
    <w:rsid w:val="344C23E9"/>
    <w:rsid w:val="34824267"/>
    <w:rsid w:val="348953EB"/>
    <w:rsid w:val="34F12F90"/>
    <w:rsid w:val="3507783C"/>
    <w:rsid w:val="35487054"/>
    <w:rsid w:val="35D73F34"/>
    <w:rsid w:val="35E13004"/>
    <w:rsid w:val="3619279E"/>
    <w:rsid w:val="361C403D"/>
    <w:rsid w:val="367B5207"/>
    <w:rsid w:val="36AA5135"/>
    <w:rsid w:val="376D39B2"/>
    <w:rsid w:val="37946560"/>
    <w:rsid w:val="37E16F03"/>
    <w:rsid w:val="381B0A50"/>
    <w:rsid w:val="381B27FE"/>
    <w:rsid w:val="38A722E3"/>
    <w:rsid w:val="38AA5930"/>
    <w:rsid w:val="38BE762D"/>
    <w:rsid w:val="38D469F0"/>
    <w:rsid w:val="38DA7095"/>
    <w:rsid w:val="39331DC9"/>
    <w:rsid w:val="39407FC8"/>
    <w:rsid w:val="39581830"/>
    <w:rsid w:val="398C14D9"/>
    <w:rsid w:val="39C15E32"/>
    <w:rsid w:val="39F24BDE"/>
    <w:rsid w:val="3A1F234D"/>
    <w:rsid w:val="3A325BDD"/>
    <w:rsid w:val="3A6F5083"/>
    <w:rsid w:val="3AC32A70"/>
    <w:rsid w:val="3AE07C06"/>
    <w:rsid w:val="3B3B7B44"/>
    <w:rsid w:val="3B9003B3"/>
    <w:rsid w:val="3BC92571"/>
    <w:rsid w:val="3BD31641"/>
    <w:rsid w:val="3C225D0A"/>
    <w:rsid w:val="3C53008C"/>
    <w:rsid w:val="3C664263"/>
    <w:rsid w:val="3D98207C"/>
    <w:rsid w:val="3DE23611"/>
    <w:rsid w:val="3E6141C5"/>
    <w:rsid w:val="3E782812"/>
    <w:rsid w:val="3E78745D"/>
    <w:rsid w:val="3EA90890"/>
    <w:rsid w:val="3ED731F7"/>
    <w:rsid w:val="3F1E2BD3"/>
    <w:rsid w:val="3F7647BE"/>
    <w:rsid w:val="3F9D7F9C"/>
    <w:rsid w:val="3FB452E6"/>
    <w:rsid w:val="3FC75019"/>
    <w:rsid w:val="40275AB8"/>
    <w:rsid w:val="405A7C3B"/>
    <w:rsid w:val="40DC4AF4"/>
    <w:rsid w:val="411C3143"/>
    <w:rsid w:val="413E57AF"/>
    <w:rsid w:val="414D2A7A"/>
    <w:rsid w:val="4180170D"/>
    <w:rsid w:val="41D36BA8"/>
    <w:rsid w:val="41E33C60"/>
    <w:rsid w:val="41F201D0"/>
    <w:rsid w:val="426F40A9"/>
    <w:rsid w:val="42DF08CC"/>
    <w:rsid w:val="441023D1"/>
    <w:rsid w:val="44130A96"/>
    <w:rsid w:val="44544D32"/>
    <w:rsid w:val="449D459A"/>
    <w:rsid w:val="44C4421D"/>
    <w:rsid w:val="44E268DA"/>
    <w:rsid w:val="44E65F41"/>
    <w:rsid w:val="45D05C94"/>
    <w:rsid w:val="4614088C"/>
    <w:rsid w:val="468C64C8"/>
    <w:rsid w:val="46935C55"/>
    <w:rsid w:val="46FC7C9E"/>
    <w:rsid w:val="474A6C5C"/>
    <w:rsid w:val="47534A38"/>
    <w:rsid w:val="47634DFF"/>
    <w:rsid w:val="48511712"/>
    <w:rsid w:val="488066AD"/>
    <w:rsid w:val="48D04F3E"/>
    <w:rsid w:val="49E93389"/>
    <w:rsid w:val="4A256BFC"/>
    <w:rsid w:val="4A5E657A"/>
    <w:rsid w:val="4A627F82"/>
    <w:rsid w:val="4A7810B6"/>
    <w:rsid w:val="4A9106FD"/>
    <w:rsid w:val="4AD056CA"/>
    <w:rsid w:val="4B0E749A"/>
    <w:rsid w:val="4B2477C4"/>
    <w:rsid w:val="4B4F25DA"/>
    <w:rsid w:val="4B9C37FE"/>
    <w:rsid w:val="4BD5286C"/>
    <w:rsid w:val="4BD96800"/>
    <w:rsid w:val="4BE068DB"/>
    <w:rsid w:val="4BE331DB"/>
    <w:rsid w:val="4C9646F1"/>
    <w:rsid w:val="4CC748AA"/>
    <w:rsid w:val="4CDA2830"/>
    <w:rsid w:val="4D072EF9"/>
    <w:rsid w:val="4D2C0BB1"/>
    <w:rsid w:val="4D577224"/>
    <w:rsid w:val="4D87403A"/>
    <w:rsid w:val="4D8F1C3E"/>
    <w:rsid w:val="4D926C66"/>
    <w:rsid w:val="4E0538DC"/>
    <w:rsid w:val="4E1753BE"/>
    <w:rsid w:val="4E28581D"/>
    <w:rsid w:val="4EAB630A"/>
    <w:rsid w:val="4ECE2238"/>
    <w:rsid w:val="4EDC4B0D"/>
    <w:rsid w:val="4F2524ED"/>
    <w:rsid w:val="4F702FD7"/>
    <w:rsid w:val="4F9F1B0F"/>
    <w:rsid w:val="4FC50E90"/>
    <w:rsid w:val="4FCE41A2"/>
    <w:rsid w:val="500E27F0"/>
    <w:rsid w:val="502C45F4"/>
    <w:rsid w:val="50302767"/>
    <w:rsid w:val="508B5BEF"/>
    <w:rsid w:val="50A3118B"/>
    <w:rsid w:val="50E84DEF"/>
    <w:rsid w:val="50E93587"/>
    <w:rsid w:val="51C32CFE"/>
    <w:rsid w:val="52391DA6"/>
    <w:rsid w:val="5256157C"/>
    <w:rsid w:val="52AD4542"/>
    <w:rsid w:val="52B4142D"/>
    <w:rsid w:val="52B633F7"/>
    <w:rsid w:val="52FD1026"/>
    <w:rsid w:val="5362532D"/>
    <w:rsid w:val="537E6D0A"/>
    <w:rsid w:val="539B439B"/>
    <w:rsid w:val="53AA4948"/>
    <w:rsid w:val="54167C33"/>
    <w:rsid w:val="547A0454"/>
    <w:rsid w:val="549A28A4"/>
    <w:rsid w:val="54E16725"/>
    <w:rsid w:val="55083CB2"/>
    <w:rsid w:val="55287EB0"/>
    <w:rsid w:val="55326F81"/>
    <w:rsid w:val="554271C4"/>
    <w:rsid w:val="55572544"/>
    <w:rsid w:val="5583158B"/>
    <w:rsid w:val="56024BA5"/>
    <w:rsid w:val="56772E9D"/>
    <w:rsid w:val="56CD6F61"/>
    <w:rsid w:val="56DC0F52"/>
    <w:rsid w:val="57323268"/>
    <w:rsid w:val="575651A9"/>
    <w:rsid w:val="578735B4"/>
    <w:rsid w:val="581B1F4E"/>
    <w:rsid w:val="58254B7B"/>
    <w:rsid w:val="583059FA"/>
    <w:rsid w:val="584274DB"/>
    <w:rsid w:val="587F24DD"/>
    <w:rsid w:val="591470C9"/>
    <w:rsid w:val="591733C9"/>
    <w:rsid w:val="592F2653"/>
    <w:rsid w:val="59725B9E"/>
    <w:rsid w:val="59C7413C"/>
    <w:rsid w:val="59C77C98"/>
    <w:rsid w:val="59D423B5"/>
    <w:rsid w:val="5A0C4930"/>
    <w:rsid w:val="5A584D94"/>
    <w:rsid w:val="5A663955"/>
    <w:rsid w:val="5A8A315B"/>
    <w:rsid w:val="5A902780"/>
    <w:rsid w:val="5AF92295"/>
    <w:rsid w:val="5AFA5E4B"/>
    <w:rsid w:val="5B123195"/>
    <w:rsid w:val="5B481DCB"/>
    <w:rsid w:val="5B527A35"/>
    <w:rsid w:val="5BAD7361"/>
    <w:rsid w:val="5BC008DF"/>
    <w:rsid w:val="5BF037E6"/>
    <w:rsid w:val="5C2C0286"/>
    <w:rsid w:val="5CD71FC4"/>
    <w:rsid w:val="5D011713"/>
    <w:rsid w:val="5D9F2CDA"/>
    <w:rsid w:val="5DB6074F"/>
    <w:rsid w:val="5DE11544"/>
    <w:rsid w:val="5EAE1426"/>
    <w:rsid w:val="5F281EB1"/>
    <w:rsid w:val="5FAD5B82"/>
    <w:rsid w:val="5FB567E4"/>
    <w:rsid w:val="5FBE1B3D"/>
    <w:rsid w:val="5FD70E51"/>
    <w:rsid w:val="5FEA46E0"/>
    <w:rsid w:val="60B42F40"/>
    <w:rsid w:val="61112140"/>
    <w:rsid w:val="61882403"/>
    <w:rsid w:val="61C3343B"/>
    <w:rsid w:val="62033E0C"/>
    <w:rsid w:val="621243C2"/>
    <w:rsid w:val="621912AD"/>
    <w:rsid w:val="62195750"/>
    <w:rsid w:val="624F4CCE"/>
    <w:rsid w:val="62797F9D"/>
    <w:rsid w:val="62946B85"/>
    <w:rsid w:val="6299063F"/>
    <w:rsid w:val="62DF24F6"/>
    <w:rsid w:val="62EC076F"/>
    <w:rsid w:val="63212B0F"/>
    <w:rsid w:val="63A66B70"/>
    <w:rsid w:val="63AF4CA3"/>
    <w:rsid w:val="63B514A9"/>
    <w:rsid w:val="63D8772F"/>
    <w:rsid w:val="64063AB3"/>
    <w:rsid w:val="64714514"/>
    <w:rsid w:val="64805613"/>
    <w:rsid w:val="64813139"/>
    <w:rsid w:val="64B4350F"/>
    <w:rsid w:val="64C03C61"/>
    <w:rsid w:val="64F61D79"/>
    <w:rsid w:val="64F63B27"/>
    <w:rsid w:val="64FE4734"/>
    <w:rsid w:val="65167D25"/>
    <w:rsid w:val="659F41BF"/>
    <w:rsid w:val="65A90B99"/>
    <w:rsid w:val="65F8567D"/>
    <w:rsid w:val="661E1587"/>
    <w:rsid w:val="664B1C51"/>
    <w:rsid w:val="665E1984"/>
    <w:rsid w:val="66B15F58"/>
    <w:rsid w:val="66DA7F47"/>
    <w:rsid w:val="66E0683D"/>
    <w:rsid w:val="671464E6"/>
    <w:rsid w:val="676813B7"/>
    <w:rsid w:val="67EE6D37"/>
    <w:rsid w:val="680D3662"/>
    <w:rsid w:val="685F6CB0"/>
    <w:rsid w:val="6884144A"/>
    <w:rsid w:val="694A1263"/>
    <w:rsid w:val="69513A22"/>
    <w:rsid w:val="69787200"/>
    <w:rsid w:val="6A3C022E"/>
    <w:rsid w:val="6A6652AB"/>
    <w:rsid w:val="6A941E18"/>
    <w:rsid w:val="6AE85CC0"/>
    <w:rsid w:val="6B767770"/>
    <w:rsid w:val="6B8C6F93"/>
    <w:rsid w:val="6C0E1756"/>
    <w:rsid w:val="6C4A05C8"/>
    <w:rsid w:val="6D0668D1"/>
    <w:rsid w:val="6D154D66"/>
    <w:rsid w:val="6D793547"/>
    <w:rsid w:val="6DC70F1E"/>
    <w:rsid w:val="6DD62748"/>
    <w:rsid w:val="6DEC3D19"/>
    <w:rsid w:val="6E274D51"/>
    <w:rsid w:val="6E6715F2"/>
    <w:rsid w:val="6E777A87"/>
    <w:rsid w:val="6E7C1985"/>
    <w:rsid w:val="6E7E3605"/>
    <w:rsid w:val="6ED00F45"/>
    <w:rsid w:val="6EDF387E"/>
    <w:rsid w:val="6F410095"/>
    <w:rsid w:val="6F8561D3"/>
    <w:rsid w:val="6FA0300D"/>
    <w:rsid w:val="6FCF38F2"/>
    <w:rsid w:val="6FEE1FCA"/>
    <w:rsid w:val="6FF5CC65"/>
    <w:rsid w:val="70384FF4"/>
    <w:rsid w:val="703D085C"/>
    <w:rsid w:val="70744F5D"/>
    <w:rsid w:val="70AC7790"/>
    <w:rsid w:val="70E62CA2"/>
    <w:rsid w:val="70F64AE0"/>
    <w:rsid w:val="712D267F"/>
    <w:rsid w:val="715C0E4B"/>
    <w:rsid w:val="721D6B97"/>
    <w:rsid w:val="72536115"/>
    <w:rsid w:val="72734D90"/>
    <w:rsid w:val="72A42E14"/>
    <w:rsid w:val="72C232B3"/>
    <w:rsid w:val="72D37256"/>
    <w:rsid w:val="734168B5"/>
    <w:rsid w:val="734F0FD2"/>
    <w:rsid w:val="738F5872"/>
    <w:rsid w:val="739A5FC5"/>
    <w:rsid w:val="73AD73D5"/>
    <w:rsid w:val="73B6EB34"/>
    <w:rsid w:val="73CF7285"/>
    <w:rsid w:val="740F0761"/>
    <w:rsid w:val="743401C8"/>
    <w:rsid w:val="744731E5"/>
    <w:rsid w:val="74493C73"/>
    <w:rsid w:val="74933140"/>
    <w:rsid w:val="749D2C40"/>
    <w:rsid w:val="74A0760B"/>
    <w:rsid w:val="74D177C5"/>
    <w:rsid w:val="750E27C7"/>
    <w:rsid w:val="752A5BEE"/>
    <w:rsid w:val="7548217D"/>
    <w:rsid w:val="756B7C19"/>
    <w:rsid w:val="757F36C5"/>
    <w:rsid w:val="75BE41ED"/>
    <w:rsid w:val="761C0F14"/>
    <w:rsid w:val="768947FB"/>
    <w:rsid w:val="76AC1248"/>
    <w:rsid w:val="76C27D0D"/>
    <w:rsid w:val="76E3355F"/>
    <w:rsid w:val="770E0614"/>
    <w:rsid w:val="77221B1B"/>
    <w:rsid w:val="7722255A"/>
    <w:rsid w:val="778769C8"/>
    <w:rsid w:val="77B358A8"/>
    <w:rsid w:val="77C16217"/>
    <w:rsid w:val="783C3AEF"/>
    <w:rsid w:val="79C21DD2"/>
    <w:rsid w:val="79EE5BA4"/>
    <w:rsid w:val="79FA5A10"/>
    <w:rsid w:val="7A717CA2"/>
    <w:rsid w:val="7A8377B3"/>
    <w:rsid w:val="7A894339"/>
    <w:rsid w:val="7A8C48BA"/>
    <w:rsid w:val="7A9814B1"/>
    <w:rsid w:val="7A9A6B88"/>
    <w:rsid w:val="7ACA7190"/>
    <w:rsid w:val="7AF62CB5"/>
    <w:rsid w:val="7AFE6E3A"/>
    <w:rsid w:val="7B276391"/>
    <w:rsid w:val="7B590514"/>
    <w:rsid w:val="7BE6624C"/>
    <w:rsid w:val="7C352D2F"/>
    <w:rsid w:val="7C4A0DEC"/>
    <w:rsid w:val="7C4D0079"/>
    <w:rsid w:val="7C7A4BE6"/>
    <w:rsid w:val="7CB43C54"/>
    <w:rsid w:val="7D2C4132"/>
    <w:rsid w:val="7D4F7C2B"/>
    <w:rsid w:val="7DE9403C"/>
    <w:rsid w:val="7E001A9A"/>
    <w:rsid w:val="7E162A33"/>
    <w:rsid w:val="7E421F02"/>
    <w:rsid w:val="7E6D4A02"/>
    <w:rsid w:val="7EEF11D3"/>
    <w:rsid w:val="7F121106"/>
    <w:rsid w:val="7F2F7F0A"/>
    <w:rsid w:val="7F625BE9"/>
    <w:rsid w:val="7F857B2A"/>
    <w:rsid w:val="7FA30C79"/>
    <w:rsid w:val="7FB7269E"/>
    <w:rsid w:val="7FC96657"/>
    <w:rsid w:val="7FE707E4"/>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9"/>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3"/>
    <w:semiHidden/>
    <w:unhideWhenUsed/>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footnote text"/>
    <w:basedOn w:val="1"/>
    <w:qFormat/>
    <w:uiPriority w:val="0"/>
    <w:pPr>
      <w:snapToGrid w:val="0"/>
      <w:jc w:val="left"/>
    </w:pPr>
    <w:rPr>
      <w:sz w:val="18"/>
      <w:szCs w:val="1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qFormat/>
    <w:uiPriority w:val="0"/>
    <w:pPr>
      <w:widowControl w:val="0"/>
      <w:spacing w:before="0" w:beforeAutospacing="1" w:after="0" w:afterAutospacing="1"/>
      <w:ind w:left="0" w:right="0"/>
      <w:jc w:val="left"/>
    </w:pPr>
    <w:rPr>
      <w:rFonts w:ascii="Times New Roman" w:hAnsi="Times New Roman" w:eastAsia="仿宋_GB2312" w:cs="Times New Roman"/>
      <w:kern w:val="0"/>
      <w:sz w:val="24"/>
      <w:szCs w:val="24"/>
      <w:lang w:val="en-US" w:eastAsia="zh-CN" w:bidi="ar"/>
    </w:rPr>
  </w:style>
  <w:style w:type="paragraph" w:styleId="15">
    <w:name w:val="Body Text First Indent 2"/>
    <w:basedOn w:val="6"/>
    <w:next w:val="1"/>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标题 1 Char"/>
    <w:basedOn w:val="17"/>
    <w:link w:val="3"/>
    <w:qFormat/>
    <w:uiPriority w:val="9"/>
    <w:rPr>
      <w:rFonts w:ascii="Times New Roman" w:hAnsi="Times New Roman"/>
      <w:b/>
      <w:bCs/>
      <w:kern w:val="44"/>
      <w:sz w:val="44"/>
      <w:szCs w:val="44"/>
    </w:rPr>
  </w:style>
  <w:style w:type="character" w:customStyle="1" w:styleId="21">
    <w:name w:val="标题 2 Char"/>
    <w:basedOn w:val="17"/>
    <w:link w:val="4"/>
    <w:qFormat/>
    <w:uiPriority w:val="9"/>
    <w:rPr>
      <w:rFonts w:asciiTheme="majorHAnsi" w:hAnsiTheme="majorHAnsi" w:eastAsiaTheme="majorEastAsia" w:cstheme="majorBidi"/>
      <w:b/>
      <w:bCs/>
      <w:kern w:val="2"/>
      <w:sz w:val="32"/>
      <w:szCs w:val="32"/>
    </w:rPr>
  </w:style>
  <w:style w:type="character" w:customStyle="1" w:styleId="22">
    <w:name w:val="标题 3 Char"/>
    <w:basedOn w:val="17"/>
    <w:link w:val="5"/>
    <w:qFormat/>
    <w:uiPriority w:val="9"/>
    <w:rPr>
      <w:rFonts w:ascii="Times New Roman" w:hAnsi="Times New Roman"/>
      <w:b/>
      <w:bCs/>
      <w:kern w:val="2"/>
      <w:sz w:val="32"/>
      <w:szCs w:val="32"/>
    </w:rPr>
  </w:style>
  <w:style w:type="paragraph" w:customStyle="1" w:styleId="23">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4">
    <w:name w:val="Header Char"/>
    <w:basedOn w:val="17"/>
    <w:semiHidden/>
    <w:qFormat/>
    <w:uiPriority w:val="99"/>
    <w:rPr>
      <w:rFonts w:ascii="Times New Roman" w:hAnsi="Times New Roman"/>
      <w:sz w:val="18"/>
      <w:szCs w:val="18"/>
    </w:rPr>
  </w:style>
  <w:style w:type="character" w:customStyle="1" w:styleId="25">
    <w:name w:val="页眉 Char"/>
    <w:link w:val="10"/>
    <w:semiHidden/>
    <w:qFormat/>
    <w:locked/>
    <w:uiPriority w:val="99"/>
    <w:rPr>
      <w:sz w:val="18"/>
    </w:rPr>
  </w:style>
  <w:style w:type="character" w:customStyle="1" w:styleId="26">
    <w:name w:val="Footer Char"/>
    <w:basedOn w:val="17"/>
    <w:semiHidden/>
    <w:qFormat/>
    <w:uiPriority w:val="99"/>
    <w:rPr>
      <w:rFonts w:ascii="Times New Roman" w:hAnsi="Times New Roman"/>
      <w:sz w:val="18"/>
      <w:szCs w:val="18"/>
    </w:rPr>
  </w:style>
  <w:style w:type="character" w:customStyle="1" w:styleId="27">
    <w:name w:val="页脚 Char"/>
    <w:link w:val="9"/>
    <w:qFormat/>
    <w:locked/>
    <w:uiPriority w:val="99"/>
    <w:rPr>
      <w:sz w:val="18"/>
    </w:rPr>
  </w:style>
  <w:style w:type="character" w:customStyle="1" w:styleId="28">
    <w:name w:val="Body Text Char"/>
    <w:basedOn w:val="17"/>
    <w:semiHidden/>
    <w:qFormat/>
    <w:uiPriority w:val="99"/>
    <w:rPr>
      <w:rFonts w:ascii="Times New Roman" w:hAnsi="Times New Roman"/>
      <w:szCs w:val="24"/>
    </w:rPr>
  </w:style>
  <w:style w:type="character" w:customStyle="1" w:styleId="29">
    <w:name w:val="正文文本 Char"/>
    <w:link w:val="2"/>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7"/>
    <w:link w:val="8"/>
    <w:semiHidden/>
    <w:qFormat/>
    <w:uiPriority w:val="99"/>
    <w:rPr>
      <w:rFonts w:ascii="Times New Roman" w:hAnsi="Times New Roman"/>
      <w:kern w:val="2"/>
      <w:sz w:val="18"/>
      <w:szCs w:val="18"/>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character" w:customStyle="1" w:styleId="38">
    <w:name w:val="font61"/>
    <w:basedOn w:val="17"/>
    <w:qFormat/>
    <w:uiPriority w:val="0"/>
    <w:rPr>
      <w:rFonts w:ascii="宋体" w:hAnsi="宋体" w:eastAsia="宋体" w:cs="宋体"/>
      <w:color w:val="000000"/>
      <w:sz w:val="20"/>
      <w:szCs w:val="20"/>
      <w:u w:val="none"/>
    </w:rPr>
  </w:style>
  <w:style w:type="character" w:customStyle="1" w:styleId="39">
    <w:name w:val="font2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image" Target="media/image1.png"/><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[工作簿1]Sheet1!$F$7:$G$7</c:f>
              <c:strCache>
                <c:ptCount val="2"/>
                <c:pt idx="0">
                  <c:v>2021年</c:v>
                </c:pt>
                <c:pt idx="1">
                  <c:v>2022年</c:v>
                </c:pt>
              </c:strCache>
            </c:strRef>
          </c:cat>
          <c:val>
            <c:numRef>
              <c:f>[工作簿1]Sheet1!$F$8:$G$8</c:f>
              <c:numCache>
                <c:formatCode>#,##0.00</c:formatCode>
                <c:ptCount val="2"/>
                <c:pt idx="0">
                  <c:v>8371.84</c:v>
                </c:pt>
                <c:pt idx="1">
                  <c:v>7368.67</c:v>
                </c:pt>
              </c:numCache>
            </c:numRef>
          </c:val>
        </c:ser>
        <c:dLbls>
          <c:showLegendKey val="0"/>
          <c:showVal val="0"/>
          <c:showCatName val="0"/>
          <c:showSerName val="0"/>
          <c:showPercent val="0"/>
          <c:showBubbleSize val="0"/>
        </c:dLbls>
        <c:gapWidth val="246"/>
        <c:overlap val="-28"/>
        <c:axId val="449661799"/>
        <c:axId val="560841968"/>
      </c:barChart>
      <c:catAx>
        <c:axId val="4496617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0841968"/>
        <c:crosses val="autoZero"/>
        <c:auto val="1"/>
        <c:lblAlgn val="ctr"/>
        <c:lblOffset val="100"/>
        <c:noMultiLvlLbl val="0"/>
      </c:catAx>
      <c:valAx>
        <c:axId val="560841968"/>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6617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[工作簿1]Sheet1!$J$14:$J$16</c:f>
              <c:strCache>
                <c:ptCount val="3"/>
                <c:pt idx="0">
                  <c:v>本年收入</c:v>
                </c:pt>
                <c:pt idx="1">
                  <c:v>一般公共预算财政拨款收入</c:v>
                </c:pt>
                <c:pt idx="2">
                  <c:v>其他收入</c:v>
                </c:pt>
              </c:strCache>
            </c:strRef>
          </c:cat>
          <c:val>
            <c:numRef>
              <c:f>[工作簿1]Sheet1!$K$14:$K$16</c:f>
              <c:numCache>
                <c:formatCode>#,##0.00</c:formatCode>
                <c:ptCount val="3"/>
                <c:pt idx="0">
                  <c:v>6685.35</c:v>
                </c:pt>
                <c:pt idx="1">
                  <c:v>6685.3</c:v>
                </c:pt>
                <c:pt idx="2" c:formatCode="General">
                  <c:v>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[工作簿1]Sheet1!$H$6:$H$7</c:f>
              <c:strCache>
                <c:ptCount val="2"/>
                <c:pt idx="0">
                  <c:v>基本支出</c:v>
                </c:pt>
                <c:pt idx="1">
                  <c:v>项目支出</c:v>
                </c:pt>
              </c:strCache>
            </c:strRef>
          </c:cat>
          <c:val>
            <c:numRef>
              <c:f>[工作簿1]Sheet1!$I$6:$I$7</c:f>
              <c:numCache>
                <c:formatCode>General</c:formatCode>
                <c:ptCount val="2"/>
                <c:pt idx="0">
                  <c:v>5642.69</c:v>
                </c:pt>
                <c:pt idx="1">
                  <c:v>1617.25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0225"/>
          <c:y val="0.043465662126919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[工作簿1]Sheet1!$I$8:$I$9</c:f>
              <c:strCache>
                <c:ptCount val="2"/>
                <c:pt idx="0">
                  <c:v>2022年</c:v>
                </c:pt>
                <c:pt idx="1">
                  <c:v>2021年</c:v>
                </c:pt>
              </c:strCache>
            </c:strRef>
          </c:cat>
          <c:val>
            <c:numRef>
              <c:f>[工作簿1]Sheet1!$J$8:$J$9</c:f>
              <c:numCache>
                <c:formatCode>General</c:formatCode>
                <c:ptCount val="2"/>
                <c:pt idx="0">
                  <c:v>7368.56</c:v>
                </c:pt>
                <c:pt idx="1">
                  <c:v>8371.44</c:v>
                </c:pt>
              </c:numCache>
            </c:numRef>
          </c:val>
        </c:ser>
        <c:dLbls>
          <c:showLegendKey val="0"/>
          <c:showVal val="0"/>
          <c:showCatName val="0"/>
          <c:showSerName val="0"/>
          <c:showPercent val="0"/>
          <c:showBubbleSize val="0"/>
        </c:dLbls>
        <c:gapWidth val="246"/>
        <c:overlap val="-28"/>
        <c:axId val="179220460"/>
        <c:axId val="365616004"/>
      </c:barChart>
      <c:catAx>
        <c:axId val="1792204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616004"/>
        <c:crosses val="autoZero"/>
        <c:auto val="1"/>
        <c:lblAlgn val="ctr"/>
        <c:lblOffset val="100"/>
        <c:noMultiLvlLbl val="0"/>
      </c:catAx>
      <c:valAx>
        <c:axId val="36561600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2204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3724808895066"/>
          <c:y val="0.0736278447121821"/>
          <c:w val="0.852397498262682"/>
          <c:h val="0.764524765729585"/>
        </c:manualLayout>
      </c:layout>
      <c:barChart>
        <c:barDir val="col"/>
        <c:grouping val="clustered"/>
        <c:varyColors val="0"/>
        <c:ser>
          <c:idx val="0"/>
          <c:order val="0"/>
          <c:spPr>
            <a:solidFill>
              <a:schemeClr val="accent1"/>
            </a:solidFill>
            <a:ln>
              <a:noFill/>
            </a:ln>
            <a:effectLst/>
          </c:spPr>
          <c:invertIfNegative val="0"/>
          <c:dLbls>
            <c:delete val="1"/>
          </c:dLbls>
          <c:cat>
            <c:strRef>
              <c:f>[工作簿1]Sheet1!$I$8:$I$9</c:f>
              <c:strCache>
                <c:ptCount val="2"/>
                <c:pt idx="0">
                  <c:v>2022年</c:v>
                </c:pt>
                <c:pt idx="1">
                  <c:v>2021年</c:v>
                </c:pt>
              </c:strCache>
            </c:strRef>
          </c:cat>
          <c:val>
            <c:numRef>
              <c:f>[工作簿1]Sheet1!$J$8:$J$9</c:f>
              <c:numCache>
                <c:formatCode>General</c:formatCode>
                <c:ptCount val="2"/>
                <c:pt idx="0">
                  <c:v>7259.83</c:v>
                </c:pt>
                <c:pt idx="1">
                  <c:v>7453.18</c:v>
                </c:pt>
              </c:numCache>
            </c:numRef>
          </c:val>
        </c:ser>
        <c:dLbls>
          <c:showLegendKey val="0"/>
          <c:showVal val="0"/>
          <c:showCatName val="0"/>
          <c:showSerName val="0"/>
          <c:showPercent val="0"/>
          <c:showBubbleSize val="0"/>
        </c:dLbls>
        <c:gapWidth val="246"/>
        <c:overlap val="-28"/>
        <c:axId val="288659433"/>
        <c:axId val="556674917"/>
      </c:barChart>
      <c:catAx>
        <c:axId val="2886594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674917"/>
        <c:crosses val="autoZero"/>
        <c:auto val="1"/>
        <c:lblAlgn val="ctr"/>
        <c:lblOffset val="100"/>
        <c:noMultiLvlLbl val="0"/>
      </c:catAx>
      <c:valAx>
        <c:axId val="55667491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6594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[工作簿1]Sheet1!$K$9:$K$10</c:f>
              <c:strCache>
                <c:ptCount val="2"/>
                <c:pt idx="0">
                  <c:v>公务用车运行维护费</c:v>
                </c:pt>
                <c:pt idx="1">
                  <c:v>公务接待费</c:v>
                </c:pt>
              </c:strCache>
            </c:strRef>
          </c:cat>
          <c:val>
            <c:numRef>
              <c:f>[工作簿1]Sheet1!$L$9:$L$10</c:f>
              <c:numCache>
                <c:formatCode>General</c:formatCode>
                <c:ptCount val="2"/>
                <c:pt idx="0">
                  <c:v>4.96</c:v>
                </c:pt>
                <c:pt idx="1">
                  <c:v>1.59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16290</Words>
  <Characters>17398</Characters>
  <Lines>61</Lines>
  <Paragraphs>17</Paragraphs>
  <TotalTime>3</TotalTime>
  <ScaleCrop>false</ScaleCrop>
  <LinksUpToDate>false</LinksUpToDate>
  <CharactersWithSpaces>17541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偷影子的人༻</cp:lastModifiedBy>
  <cp:lastPrinted>2023-07-31T02:35:00Z</cp:lastPrinted>
  <dcterms:modified xsi:type="dcterms:W3CDTF">2023-10-09T01:59:53Z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1BF328E4FCBC46E183310AF8D9815CC9</vt:lpwstr>
  </property>
</Properties>
</file>