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8441"/>
      <w:bookmarkStart w:id="3" w:name="_Toc15377193"/>
      <w:bookmarkStart w:id="4" w:name="_Toc15396475"/>
      <w:bookmarkStart w:id="5" w:name="_Toc12015"/>
      <w:bookmarkStart w:id="6" w:name="_Toc15377425"/>
      <w:bookmarkStart w:id="7" w:name="_Toc6272"/>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77194"/>
      <w:bookmarkStart w:id="9" w:name="_Toc15396476"/>
      <w:bookmarkStart w:id="10" w:name="_Toc15377426"/>
      <w:bookmarkStart w:id="11" w:name="_Toc15378442"/>
      <w:bookmarkStart w:id="12" w:name="_Toc31358"/>
      <w:bookmarkStart w:id="13" w:name="_Toc15396598"/>
      <w:bookmarkStart w:id="14" w:name="_Toc25094"/>
      <w:r>
        <w:rPr>
          <w:rFonts w:hint="eastAsia" w:ascii="方正小标宋简体" w:hAnsi="方正小标宋简体" w:eastAsia="方正小标宋简体" w:cs="方正小标宋简体"/>
          <w:sz w:val="72"/>
          <w:szCs w:val="72"/>
        </w:rPr>
        <w:t>广元市</w:t>
      </w:r>
      <w:bookmarkEnd w:id="0"/>
      <w:bookmarkStart w:id="15" w:name="_Toc15306268"/>
      <w:r>
        <w:rPr>
          <w:rFonts w:hint="eastAsia" w:ascii="方正小标宋简体" w:hAnsi="方正小标宋简体" w:eastAsia="方正小标宋简体" w:cs="方正小标宋简体"/>
          <w:sz w:val="72"/>
          <w:szCs w:val="72"/>
        </w:rPr>
        <w:t>人力资源和社会保障局机关单位决算</w:t>
      </w:r>
      <w:bookmarkEnd w:id="8"/>
      <w:bookmarkEnd w:id="9"/>
      <w:bookmarkEnd w:id="10"/>
      <w:bookmarkEnd w:id="11"/>
      <w:bookmarkEnd w:id="12"/>
      <w:bookmarkEnd w:id="13"/>
      <w:bookmarkEnd w:id="14"/>
      <w:bookmarkEnd w:id="15"/>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9</w:t>
      </w:r>
      <w:r>
        <w:rPr>
          <w:rFonts w:hint="eastAsia"/>
        </w:rPr>
        <w:t>月</w:t>
      </w:r>
      <w:r>
        <w:rPr>
          <w:rFonts w:hint="eastAsia"/>
          <w:lang w:val="en-US" w:eastAsia="zh-CN"/>
        </w:rPr>
        <w:t>30</w:t>
      </w:r>
      <w:r>
        <w:rPr>
          <w:rFonts w:hint="eastAsia"/>
        </w:rPr>
        <w:t>日</w:t>
      </w:r>
    </w:p>
    <w:sdt>
      <w:sdtPr>
        <w:rPr>
          <w:rFonts w:ascii="宋体" w:hAnsi="宋体" w:eastAsia="宋体" w:cs="Times New Roman"/>
          <w:kern w:val="2"/>
          <w:sz w:val="21"/>
          <w:szCs w:val="24"/>
          <w:lang w:val="en-US" w:eastAsia="zh-CN" w:bidi="ar-SA"/>
        </w:rPr>
        <w:id w:val="14745121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6" w:name="_Toc12904"/>
        </w:p>
        <w:p>
          <w:pPr>
            <w:pStyle w:val="37"/>
            <w:tabs>
              <w:tab w:val="right" w:leader="dot" w:pos="8306"/>
            </w:tabs>
            <w:rPr>
              <w:b/>
            </w:rPr>
          </w:pPr>
          <w:r>
            <w:fldChar w:fldCharType="begin"/>
          </w:r>
          <w:r>
            <w:instrText xml:space="preserve">TOC \o "1-2" \h \u </w:instrText>
          </w:r>
          <w:r>
            <w:fldChar w:fldCharType="separate"/>
          </w:r>
        </w:p>
        <w:p>
          <w:pPr>
            <w:pStyle w:val="37"/>
            <w:tabs>
              <w:tab w:val="right" w:leader="dot" w:pos="8306"/>
            </w:tabs>
            <w:rPr>
              <w:b/>
            </w:rPr>
          </w:pPr>
          <w:r>
            <w:rPr>
              <w:b/>
            </w:rPr>
            <w:fldChar w:fldCharType="begin"/>
          </w:r>
          <w:r>
            <w:rPr>
              <w:b/>
            </w:rPr>
            <w:instrText xml:space="preserve"> HYPERLINK \l _Toc31452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_Toc31452 \h </w:instrText>
          </w:r>
          <w:r>
            <w:rPr>
              <w:b/>
            </w:rPr>
            <w:fldChar w:fldCharType="separate"/>
          </w:r>
          <w:r>
            <w:rPr>
              <w:b/>
            </w:rPr>
            <w:t>1</w:t>
          </w:r>
          <w:r>
            <w:rPr>
              <w:b/>
            </w:rPr>
            <w:fldChar w:fldCharType="end"/>
          </w:r>
          <w:r>
            <w:rPr>
              <w:b/>
            </w:rPr>
            <w:fldChar w:fldCharType="end"/>
          </w:r>
        </w:p>
        <w:p>
          <w:pPr>
            <w:pStyle w:val="38"/>
            <w:tabs>
              <w:tab w:val="right" w:leader="dot" w:pos="8306"/>
            </w:tabs>
          </w:pPr>
          <w:r>
            <w:fldChar w:fldCharType="begin"/>
          </w:r>
          <w:r>
            <w:instrText xml:space="preserve"> HYPERLINK \l _Toc30225 </w:instrText>
          </w:r>
          <w:r>
            <w:fldChar w:fldCharType="separate"/>
          </w:r>
          <w:r>
            <w:rPr>
              <w:rFonts w:hint="eastAsia"/>
            </w:rPr>
            <w:t xml:space="preserve">一、 </w:t>
          </w:r>
          <w:r>
            <w:rPr>
              <w:rFonts w:hint="eastAsia" w:ascii="黑体" w:hAnsi="黑体" w:eastAsia="黑体"/>
              <w:bCs w:val="0"/>
            </w:rPr>
            <w:t>职能简介</w:t>
          </w:r>
          <w:r>
            <w:tab/>
          </w:r>
          <w:r>
            <w:fldChar w:fldCharType="begin"/>
          </w:r>
          <w:r>
            <w:instrText xml:space="preserve"> PAGEREF _Toc30225 \h </w:instrText>
          </w:r>
          <w:r>
            <w:fldChar w:fldCharType="separate"/>
          </w:r>
          <w:r>
            <w:t>1</w:t>
          </w:r>
          <w:r>
            <w:fldChar w:fldCharType="end"/>
          </w:r>
          <w:r>
            <w:fldChar w:fldCharType="end"/>
          </w:r>
        </w:p>
        <w:p>
          <w:pPr>
            <w:pStyle w:val="38"/>
            <w:tabs>
              <w:tab w:val="right" w:leader="dot" w:pos="8306"/>
            </w:tabs>
          </w:pPr>
          <w:r>
            <w:fldChar w:fldCharType="begin"/>
          </w:r>
          <w:r>
            <w:instrText xml:space="preserve"> HYPERLINK \l _Toc24371 </w:instrText>
          </w:r>
          <w:r>
            <w:fldChar w:fldCharType="separate"/>
          </w:r>
          <w:r>
            <w:rPr>
              <w:rFonts w:hint="eastAsia" w:ascii="黑体" w:hAnsi="黑体" w:eastAsia="黑体"/>
            </w:rPr>
            <w:t>二、2021年重点工作完成情况</w:t>
          </w:r>
          <w:r>
            <w:tab/>
          </w:r>
          <w:r>
            <w:fldChar w:fldCharType="begin"/>
          </w:r>
          <w:r>
            <w:instrText xml:space="preserve"> PAGEREF _Toc24371 \h </w:instrText>
          </w:r>
          <w:r>
            <w:fldChar w:fldCharType="separate"/>
          </w:r>
          <w:r>
            <w:t>4</w:t>
          </w:r>
          <w:r>
            <w:fldChar w:fldCharType="end"/>
          </w:r>
          <w:r>
            <w:fldChar w:fldCharType="end"/>
          </w:r>
        </w:p>
        <w:p>
          <w:pPr>
            <w:pStyle w:val="37"/>
            <w:tabs>
              <w:tab w:val="right" w:leader="dot" w:pos="8306"/>
            </w:tabs>
            <w:rPr>
              <w:b/>
            </w:rPr>
          </w:pPr>
          <w:r>
            <w:rPr>
              <w:b/>
            </w:rPr>
            <w:fldChar w:fldCharType="begin"/>
          </w:r>
          <w:r>
            <w:rPr>
              <w:b/>
            </w:rPr>
            <w:instrText xml:space="preserve"> HYPERLINK \l _Toc25725 </w:instrText>
          </w:r>
          <w:r>
            <w:rPr>
              <w:b/>
            </w:rP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_Toc25725 \h </w:instrText>
          </w:r>
          <w:r>
            <w:rPr>
              <w:b/>
            </w:rPr>
            <w:fldChar w:fldCharType="separate"/>
          </w:r>
          <w:r>
            <w:rPr>
              <w:b/>
            </w:rPr>
            <w:t>5</w:t>
          </w:r>
          <w:r>
            <w:rPr>
              <w:b/>
            </w:rPr>
            <w:fldChar w:fldCharType="end"/>
          </w:r>
          <w:r>
            <w:rPr>
              <w:b/>
            </w:rPr>
            <w:fldChar w:fldCharType="end"/>
          </w:r>
        </w:p>
        <w:p>
          <w:pPr>
            <w:pStyle w:val="38"/>
            <w:tabs>
              <w:tab w:val="right" w:leader="dot" w:pos="8306"/>
            </w:tabs>
          </w:pPr>
          <w:r>
            <w:fldChar w:fldCharType="begin"/>
          </w:r>
          <w:r>
            <w:instrText xml:space="preserve"> HYPERLINK \l _Toc24507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_Toc24507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_Toc9504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_Toc9504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_Toc2754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_Toc2754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_Toc23316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_Toc23316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_Toc29184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_Toc29184 \h </w:instrText>
          </w:r>
          <w:r>
            <w:fldChar w:fldCharType="separate"/>
          </w:r>
          <w:r>
            <w:t>7</w:t>
          </w:r>
          <w:r>
            <w:fldChar w:fldCharType="end"/>
          </w:r>
          <w:r>
            <w:fldChar w:fldCharType="end"/>
          </w:r>
        </w:p>
        <w:p>
          <w:pPr>
            <w:pStyle w:val="38"/>
            <w:tabs>
              <w:tab w:val="right" w:leader="dot" w:pos="8306"/>
            </w:tabs>
          </w:pPr>
          <w:r>
            <w:fldChar w:fldCharType="begin"/>
          </w:r>
          <w:r>
            <w:instrText xml:space="preserve"> HYPERLINK \l _Toc27408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_Toc27408 \h </w:instrText>
          </w:r>
          <w:r>
            <w:fldChar w:fldCharType="separate"/>
          </w:r>
          <w:r>
            <w:t>11</w:t>
          </w:r>
          <w:r>
            <w:fldChar w:fldCharType="end"/>
          </w:r>
          <w:r>
            <w:fldChar w:fldCharType="end"/>
          </w:r>
        </w:p>
        <w:p>
          <w:pPr>
            <w:pStyle w:val="38"/>
            <w:tabs>
              <w:tab w:val="right" w:leader="dot" w:pos="8306"/>
            </w:tabs>
          </w:pPr>
          <w:r>
            <w:fldChar w:fldCharType="begin"/>
          </w:r>
          <w:r>
            <w:instrText xml:space="preserve"> HYPERLINK \l _Toc402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_Toc402 \h </w:instrText>
          </w:r>
          <w:r>
            <w:fldChar w:fldCharType="separate"/>
          </w:r>
          <w:r>
            <w:t>12</w:t>
          </w:r>
          <w:r>
            <w:fldChar w:fldCharType="end"/>
          </w:r>
          <w:r>
            <w:fldChar w:fldCharType="end"/>
          </w:r>
        </w:p>
        <w:p>
          <w:pPr>
            <w:pStyle w:val="38"/>
            <w:tabs>
              <w:tab w:val="right" w:leader="dot" w:pos="8306"/>
            </w:tabs>
          </w:pPr>
          <w:r>
            <w:fldChar w:fldCharType="begin"/>
          </w:r>
          <w:r>
            <w:instrText xml:space="preserve"> HYPERLINK \l _Toc18282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_Toc18282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_Toc28283 </w:instrText>
          </w:r>
          <w:r>
            <w:fldChar w:fldCharType="separate"/>
          </w:r>
          <w:r>
            <w:rPr>
              <w:rFonts w:hint="eastAsia" w:ascii="黑体" w:hAnsi="黑体" w:eastAsia="黑体"/>
            </w:rPr>
            <w:t>九、 国有资本经营预算支出决算情况说明</w:t>
          </w:r>
          <w:r>
            <w:tab/>
          </w:r>
          <w:r>
            <w:fldChar w:fldCharType="begin"/>
          </w:r>
          <w:r>
            <w:instrText xml:space="preserve"> PAGEREF _Toc28283 \h </w:instrText>
          </w:r>
          <w:r>
            <w:fldChar w:fldCharType="separate"/>
          </w:r>
          <w:r>
            <w:t>14</w:t>
          </w:r>
          <w:r>
            <w:fldChar w:fldCharType="end"/>
          </w:r>
          <w:r>
            <w:fldChar w:fldCharType="end"/>
          </w:r>
        </w:p>
        <w:p>
          <w:pPr>
            <w:pStyle w:val="38"/>
            <w:tabs>
              <w:tab w:val="right" w:leader="dot" w:pos="8306"/>
            </w:tabs>
          </w:pPr>
          <w:r>
            <w:fldChar w:fldCharType="begin"/>
          </w:r>
          <w:r>
            <w:instrText xml:space="preserve"> HYPERLINK \l _Toc6728 </w:instrText>
          </w:r>
          <w:r>
            <w:fldChar w:fldCharType="separate"/>
          </w:r>
          <w:r>
            <w:rPr>
              <w:rFonts w:hint="eastAsia" w:ascii="黑体" w:hAnsi="黑体" w:eastAsia="黑体"/>
            </w:rPr>
            <w:t>十、 预算绩效管理情况</w:t>
          </w:r>
          <w:r>
            <w:tab/>
          </w:r>
          <w:bookmarkStart w:id="151" w:name="_GoBack"/>
          <w:bookmarkEnd w:id="151"/>
          <w:r>
            <w:fldChar w:fldCharType="begin"/>
          </w:r>
          <w:r>
            <w:instrText xml:space="preserve"> PAGEREF _Toc6728 \h </w:instrText>
          </w:r>
          <w:r>
            <w:fldChar w:fldCharType="separate"/>
          </w:r>
          <w:r>
            <w:t>14</w:t>
          </w:r>
          <w:r>
            <w:fldChar w:fldCharType="end"/>
          </w:r>
          <w:r>
            <w:fldChar w:fldCharType="end"/>
          </w:r>
        </w:p>
        <w:p>
          <w:pPr>
            <w:pStyle w:val="38"/>
            <w:tabs>
              <w:tab w:val="right" w:leader="dot" w:pos="8306"/>
            </w:tabs>
          </w:pPr>
          <w:r>
            <w:fldChar w:fldCharType="begin"/>
          </w:r>
          <w:r>
            <w:instrText xml:space="preserve"> HYPERLINK \l _Toc15373 </w:instrText>
          </w:r>
          <w:r>
            <w:fldChar w:fldCharType="separate"/>
          </w:r>
          <w:r>
            <w:rPr>
              <w:rFonts w:hint="eastAsia" w:ascii="黑体" w:hAnsi="黑体" w:eastAsia="黑体"/>
            </w:rPr>
            <w:t>十一、 其他重要事项的情况说明</w:t>
          </w:r>
          <w:r>
            <w:tab/>
          </w:r>
          <w:r>
            <w:fldChar w:fldCharType="begin"/>
          </w:r>
          <w:r>
            <w:instrText xml:space="preserve"> PAGEREF _Toc15373 \h </w:instrText>
          </w:r>
          <w:r>
            <w:fldChar w:fldCharType="separate"/>
          </w:r>
          <w:r>
            <w:t>14</w:t>
          </w:r>
          <w:r>
            <w:fldChar w:fldCharType="end"/>
          </w:r>
          <w:r>
            <w:fldChar w:fldCharType="end"/>
          </w:r>
        </w:p>
        <w:p>
          <w:pPr>
            <w:pStyle w:val="37"/>
            <w:tabs>
              <w:tab w:val="right" w:leader="dot" w:pos="8306"/>
            </w:tabs>
            <w:rPr>
              <w:b/>
            </w:rPr>
          </w:pPr>
          <w:r>
            <w:rPr>
              <w:b/>
            </w:rPr>
            <w:fldChar w:fldCharType="begin"/>
          </w:r>
          <w:r>
            <w:rPr>
              <w:b/>
            </w:rPr>
            <w:instrText xml:space="preserve"> HYPERLINK \l _Toc11647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_Toc11647 \h </w:instrText>
          </w:r>
          <w:r>
            <w:rPr>
              <w:b/>
            </w:rPr>
            <w:fldChar w:fldCharType="separate"/>
          </w:r>
          <w:r>
            <w:rPr>
              <w:b/>
            </w:rPr>
            <w:t>16</w:t>
          </w:r>
          <w:r>
            <w:rPr>
              <w:b/>
            </w:rPr>
            <w:fldChar w:fldCharType="end"/>
          </w:r>
          <w:r>
            <w:rPr>
              <w:b/>
            </w:rPr>
            <w:fldChar w:fldCharType="end"/>
          </w:r>
        </w:p>
        <w:p>
          <w:pPr>
            <w:pStyle w:val="37"/>
            <w:tabs>
              <w:tab w:val="right" w:leader="dot" w:pos="8306"/>
            </w:tabs>
          </w:pPr>
          <w:r>
            <w:rPr>
              <w:b/>
            </w:rPr>
            <w:fldChar w:fldCharType="begin"/>
          </w:r>
          <w:r>
            <w:rPr>
              <w:b/>
            </w:rPr>
            <w:instrText xml:space="preserve"> HYPERLINK \l _Toc17425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_Toc17425 \h </w:instrText>
          </w:r>
          <w:r>
            <w:rPr>
              <w:b/>
            </w:rPr>
            <w:fldChar w:fldCharType="separate"/>
          </w:r>
          <w:r>
            <w:rPr>
              <w:b/>
            </w:rPr>
            <w:t>20</w:t>
          </w:r>
          <w:r>
            <w:rPr>
              <w:b/>
            </w:rPr>
            <w:fldChar w:fldCharType="end"/>
          </w:r>
          <w:r>
            <w:rPr>
              <w:b/>
            </w:rPr>
            <w:fldChar w:fldCharType="end"/>
          </w:r>
        </w:p>
        <w:p>
          <w:pPr>
            <w:pStyle w:val="37"/>
            <w:tabs>
              <w:tab w:val="right" w:leader="dot" w:pos="8306"/>
            </w:tabs>
            <w:rPr>
              <w:b/>
            </w:rPr>
          </w:pPr>
          <w:r>
            <w:rPr>
              <w:b/>
            </w:rPr>
            <w:fldChar w:fldCharType="begin"/>
          </w:r>
          <w:r>
            <w:rPr>
              <w:b/>
            </w:rPr>
            <w:instrText xml:space="preserve"> HYPERLINK \l _Toc7483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_Toc7483 \h </w:instrText>
          </w:r>
          <w:r>
            <w:rPr>
              <w:b/>
            </w:rPr>
            <w:fldChar w:fldCharType="separate"/>
          </w:r>
          <w:r>
            <w:rPr>
              <w:b/>
            </w:rPr>
            <w:t>42</w:t>
          </w:r>
          <w:r>
            <w:rPr>
              <w:b/>
            </w:rPr>
            <w:fldChar w:fldCharType="end"/>
          </w:r>
          <w:r>
            <w:rPr>
              <w:b/>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_Toc23189 </w:instrText>
          </w:r>
          <w:r>
            <w:rPr>
              <w:rFonts w:asciiTheme="minorHAnsi" w:hAnsiTheme="minorHAnsi" w:eastAsiaTheme="minorEastAsia" w:cstheme="minorBidi"/>
            </w:rPr>
            <w:fldChar w:fldCharType="separate"/>
          </w:r>
          <w:r>
            <w:rPr>
              <w:rFonts w:hint="eastAsia" w:ascii="黑体" w:hAnsi="黑体" w:eastAsia="黑体" w:cs="黑体"/>
            </w:rPr>
            <w:t>一、收入支出决算总表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_Toc23189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_Toc22141 </w:instrText>
          </w:r>
          <w:r>
            <w:rPr>
              <w:rFonts w:asciiTheme="minorHAnsi" w:hAnsiTheme="minorHAnsi" w:eastAsiaTheme="minorEastAsia" w:cstheme="minorBidi"/>
            </w:rPr>
            <w:fldChar w:fldCharType="separate"/>
          </w:r>
          <w:r>
            <w:rPr>
              <w:rFonts w:hint="eastAsia" w:ascii="黑体" w:hAnsi="黑体" w:eastAsia="黑体" w:cs="黑体"/>
            </w:rPr>
            <w:t>二、收入决算表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_Toc22141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_Toc14607 </w:instrText>
          </w:r>
          <w:r>
            <w:rPr>
              <w:rFonts w:asciiTheme="minorHAnsi" w:hAnsiTheme="minorHAnsi" w:eastAsiaTheme="minorEastAsia" w:cstheme="minorBidi"/>
            </w:rPr>
            <w:fldChar w:fldCharType="separate"/>
          </w:r>
          <w:r>
            <w:rPr>
              <w:rFonts w:hint="eastAsia" w:ascii="黑体" w:hAnsi="黑体" w:eastAsia="黑体" w:cs="黑体"/>
            </w:rPr>
            <w:t>三、支出决算表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_Toc14607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_Toc30694 </w:instrText>
          </w:r>
          <w:r>
            <w:rPr>
              <w:rFonts w:asciiTheme="minorHAnsi" w:hAnsiTheme="minorHAnsi" w:eastAsiaTheme="minorEastAsia" w:cstheme="minorBidi"/>
            </w:rPr>
            <w:fldChar w:fldCharType="separate"/>
          </w:r>
          <w:r>
            <w:rPr>
              <w:rFonts w:hint="eastAsia" w:ascii="黑体" w:hAnsi="黑体" w:eastAsia="黑体" w:cs="黑体"/>
            </w:rPr>
            <w:t>四、财政拨款收入支出决算总表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_Toc30694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_Toc2922 </w:instrText>
          </w:r>
          <w:r>
            <w:rPr>
              <w:rFonts w:asciiTheme="minorHAnsi" w:hAnsiTheme="minorHAnsi" w:eastAsiaTheme="minorEastAsia" w:cstheme="minorBidi"/>
            </w:rPr>
            <w:fldChar w:fldCharType="separate"/>
          </w:r>
          <w:r>
            <w:rPr>
              <w:rFonts w:hint="eastAsia" w:ascii="黑体" w:hAnsi="黑体" w:eastAsia="黑体" w:cs="黑体"/>
            </w:rPr>
            <w:t>五、财政拨款支出决算明细表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_Toc2922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_Toc5558 </w:instrText>
          </w:r>
          <w:r>
            <w:rPr>
              <w:rFonts w:asciiTheme="minorHAnsi" w:hAnsiTheme="minorHAnsi" w:eastAsiaTheme="minorEastAsia" w:cstheme="minorBidi"/>
            </w:rPr>
            <w:fldChar w:fldCharType="separate"/>
          </w:r>
          <w:r>
            <w:rPr>
              <w:rFonts w:hint="eastAsia" w:ascii="黑体" w:hAnsi="黑体" w:eastAsia="黑体" w:cs="黑体"/>
            </w:rPr>
            <w:t>六、一般公共预算财政拨款支出决算表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_Toc5558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_Toc18813 </w:instrText>
          </w:r>
          <w:r>
            <w:rPr>
              <w:rFonts w:asciiTheme="minorHAnsi" w:hAnsiTheme="minorHAnsi" w:eastAsiaTheme="minorEastAsia" w:cstheme="minorBidi"/>
            </w:rPr>
            <w:fldChar w:fldCharType="separate"/>
          </w:r>
          <w:r>
            <w:rPr>
              <w:rFonts w:hint="eastAsia" w:ascii="黑体" w:hAnsi="黑体" w:eastAsia="黑体" w:cs="黑体"/>
            </w:rPr>
            <w:t>七、一般公共预算财政拨款支出决算明细表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_Toc18813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_Toc4756 </w:instrText>
          </w:r>
          <w:r>
            <w:rPr>
              <w:rFonts w:asciiTheme="minorHAnsi" w:hAnsiTheme="minorHAnsi" w:eastAsiaTheme="minorEastAsia" w:cstheme="minorBidi"/>
            </w:rPr>
            <w:fldChar w:fldCharType="separate"/>
          </w:r>
          <w:r>
            <w:rPr>
              <w:rFonts w:hint="eastAsia" w:ascii="黑体" w:hAnsi="黑体" w:eastAsia="黑体" w:cs="黑体"/>
            </w:rPr>
            <w:t>八、一般公共预算财政拨款基本支出决算表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_Toc4756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_Toc13500 </w:instrText>
          </w:r>
          <w:r>
            <w:rPr>
              <w:rFonts w:asciiTheme="minorHAnsi" w:hAnsiTheme="minorHAnsi" w:eastAsiaTheme="minorEastAsia" w:cstheme="minorBidi"/>
            </w:rPr>
            <w:fldChar w:fldCharType="separate"/>
          </w:r>
          <w:r>
            <w:rPr>
              <w:rFonts w:hint="eastAsia" w:ascii="黑体" w:hAnsi="黑体" w:eastAsia="黑体" w:cs="黑体"/>
            </w:rPr>
            <w:t>九、一般公共预算财政拨款项目支出决算表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_Toc13500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_Toc5607 </w:instrText>
          </w:r>
          <w:r>
            <w:rPr>
              <w:rFonts w:asciiTheme="minorHAnsi" w:hAnsiTheme="minorHAnsi" w:eastAsiaTheme="minorEastAsia" w:cstheme="minorBidi"/>
            </w:rPr>
            <w:fldChar w:fldCharType="separate"/>
          </w:r>
          <w:r>
            <w:rPr>
              <w:rFonts w:hint="eastAsia" w:ascii="黑体" w:hAnsi="黑体" w:eastAsia="黑体" w:cs="黑体"/>
            </w:rPr>
            <w:t>十、一般公共预算财政拨款“三公”经费支出决算表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_Toc5607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_Toc7089 </w:instrText>
          </w:r>
          <w:r>
            <w:rPr>
              <w:rFonts w:hint="eastAsia" w:ascii="黑体" w:hAnsi="黑体" w:eastAsia="黑体" w:cs="黑体"/>
            </w:rPr>
            <w:fldChar w:fldCharType="separate"/>
          </w:r>
          <w:r>
            <w:rPr>
              <w:rFonts w:hint="eastAsia" w:ascii="黑体" w:hAnsi="黑体" w:eastAsia="黑体" w:cs="黑体"/>
            </w:rPr>
            <w:t>十一、政府性基金预算财政拨款收入支出决算表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_Toc7089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38"/>
            <w:tabs>
              <w:tab w:val="right" w:leader="dot" w:pos="8306"/>
            </w:tabs>
            <w:rPr>
              <w:rFonts w:asciiTheme="minorHAnsi" w:hAnsiTheme="minorHAnsi" w:eastAsiaTheme="minorEastAsia" w:cstheme="minorBidi"/>
            </w:rPr>
          </w:pPr>
          <w:r>
            <w:rPr>
              <w:rFonts w:hint="eastAsia" w:ascii="黑体" w:hAnsi="黑体" w:eastAsia="黑体" w:cs="黑体"/>
            </w:rPr>
            <w:fldChar w:fldCharType="begin"/>
          </w:r>
          <w:r>
            <w:rPr>
              <w:rFonts w:hint="eastAsia" w:ascii="黑体" w:hAnsi="黑体" w:eastAsia="黑体" w:cs="黑体"/>
            </w:rPr>
            <w:instrText xml:space="preserve"> HYPERLINK \l _Toc19942 </w:instrText>
          </w:r>
          <w:r>
            <w:rPr>
              <w:rFonts w:hint="eastAsia" w:ascii="黑体" w:hAnsi="黑体" w:eastAsia="黑体" w:cs="黑体"/>
            </w:rPr>
            <w:fldChar w:fldCharType="separate"/>
          </w:r>
          <w:r>
            <w:rPr>
              <w:rFonts w:hint="eastAsia" w:ascii="黑体" w:hAnsi="黑体" w:eastAsia="黑体" w:cs="黑体"/>
            </w:rPr>
            <w:t>十二、政府性基金预算财政拨款“三公”经费支出决算表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_Toc19942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38"/>
            <w:tabs>
              <w:tab w:val="right" w:leader="dot" w:pos="8306"/>
            </w:tabs>
            <w:rPr>
              <w:rFonts w:asciiTheme="minorHAnsi" w:hAnsiTheme="minorHAnsi" w:eastAsiaTheme="minorEastAsia" w:cstheme="minorBidi"/>
            </w:rPr>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_Toc28218 </w:instrText>
          </w:r>
          <w:r>
            <w:rPr>
              <w:rFonts w:asciiTheme="minorHAnsi" w:hAnsiTheme="minorHAnsi" w:eastAsiaTheme="minorEastAsia" w:cstheme="minorBidi"/>
            </w:rPr>
            <w:fldChar w:fldCharType="separate"/>
          </w:r>
          <w:r>
            <w:rPr>
              <w:rFonts w:hint="eastAsia" w:ascii="黑体" w:hAnsi="黑体" w:eastAsia="黑体" w:cs="黑体"/>
            </w:rPr>
            <w:t>十三、国有资本经营预算财政拨款收入支出决算表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_Toc28218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pPr>
            <w:pStyle w:val="38"/>
            <w:tabs>
              <w:tab w:val="right" w:leader="dot" w:pos="8306"/>
            </w:tabs>
          </w:pP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HYPERLINK \l _Toc9048 </w:instrText>
          </w:r>
          <w:r>
            <w:rPr>
              <w:rFonts w:asciiTheme="minorHAnsi" w:hAnsiTheme="minorHAnsi" w:eastAsiaTheme="minorEastAsia" w:cstheme="minorBidi"/>
            </w:rPr>
            <w:fldChar w:fldCharType="separate"/>
          </w:r>
          <w:r>
            <w:rPr>
              <w:rFonts w:hint="eastAsia" w:ascii="黑体" w:hAnsi="黑体" w:eastAsia="黑体" w:cs="黑体"/>
            </w:rPr>
            <w:t>十四、国有资本经营预算财政拨款支出决算表</w:t>
          </w:r>
          <w:r>
            <w:rPr>
              <w:rFonts w:asciiTheme="minorHAnsi" w:hAnsiTheme="minorHAnsi" w:eastAsiaTheme="minorEastAsia" w:cstheme="minorBidi"/>
            </w:rPr>
            <w:tab/>
          </w:r>
          <w:r>
            <w:rPr>
              <w:rFonts w:asciiTheme="minorHAnsi" w:hAnsiTheme="minorHAnsi" w:eastAsiaTheme="minorEastAsia" w:cstheme="minorBidi"/>
            </w:rPr>
            <w:fldChar w:fldCharType="begin"/>
          </w:r>
          <w:r>
            <w:rPr>
              <w:rFonts w:asciiTheme="minorHAnsi" w:hAnsiTheme="minorHAnsi" w:eastAsiaTheme="minorEastAsia" w:cstheme="minorBidi"/>
            </w:rPr>
            <w:instrText xml:space="preserve"> PAGEREF _Toc9048 \h </w:instrText>
          </w:r>
          <w:r>
            <w:rPr>
              <w:rFonts w:asciiTheme="minorHAnsi" w:hAnsiTheme="minorHAnsi" w:eastAsiaTheme="minorEastAsia" w:cstheme="minorBidi"/>
            </w:rPr>
            <w:fldChar w:fldCharType="separate"/>
          </w:r>
          <w:r>
            <w:rPr>
              <w:rFonts w:asciiTheme="minorHAnsi" w:hAnsiTheme="minorHAnsi" w:eastAsiaTheme="minorEastAsia" w:cstheme="minorBidi"/>
            </w:rPr>
            <w:t>42</w:t>
          </w:r>
          <w:r>
            <w:rPr>
              <w:rFonts w:asciiTheme="minorHAnsi" w:hAnsiTheme="minorHAnsi" w:eastAsiaTheme="minorEastAsia" w:cstheme="minorBidi"/>
            </w:rPr>
            <w:fldChar w:fldCharType="end"/>
          </w:r>
          <w:r>
            <w:rPr>
              <w:rFonts w:asciiTheme="minorHAnsi" w:hAnsiTheme="minorHAnsi" w:eastAsiaTheme="minorEastAsia" w:cstheme="minorBidi"/>
            </w:rPr>
            <w:fldChar w:fldCharType="end"/>
          </w:r>
        </w:p>
        <w:p>
          <w:r>
            <w:rPr>
              <w:b/>
            </w:rPr>
            <w:fldChar w:fldCharType="end"/>
          </w:r>
        </w:p>
      </w:sdtContent>
    </w:sdt>
    <w:p>
      <w:pPr>
        <w:pStyle w:val="2"/>
        <w:jc w:val="cente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bookmarkStart w:id="17" w:name="_Toc31452"/>
    </w:p>
    <w:p>
      <w:pPr>
        <w:pStyle w:val="2"/>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6"/>
      <w:bookmarkEnd w:id="17"/>
    </w:p>
    <w:p>
      <w:pPr>
        <w:widowControl/>
        <w:jc w:val="left"/>
        <w:rPr>
          <w:rFonts w:ascii="黑体" w:eastAsia="黑体"/>
          <w:sz w:val="32"/>
          <w:szCs w:val="32"/>
        </w:rPr>
      </w:pPr>
    </w:p>
    <w:p>
      <w:pPr>
        <w:pStyle w:val="3"/>
        <w:numPr>
          <w:ilvl w:val="0"/>
          <w:numId w:val="1"/>
        </w:numPr>
      </w:pPr>
      <w:bookmarkStart w:id="18" w:name="_Toc30225"/>
      <w:bookmarkStart w:id="19" w:name="_Toc15377197"/>
      <w:bookmarkStart w:id="20" w:name="_Toc15396600"/>
      <w:r>
        <w:rPr>
          <w:rStyle w:val="29"/>
          <w:rFonts w:hint="eastAsia" w:ascii="黑体" w:hAnsi="黑体" w:eastAsia="黑体"/>
          <w:b w:val="0"/>
          <w:bCs w:val="0"/>
        </w:rPr>
        <w:t>职能简介</w:t>
      </w:r>
      <w:bookmarkEnd w:id="18"/>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1.拟订全市人力资源和社会保障事业发展规划、政策并组织实施和监督检查。起草地方性法规、规章草案。</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2.拟订全市人力资源市场发展规划和人力资源流动政策并组织实施，建立全市统一规范的人力资源市场，促进人力资源合理流动、有效配置。</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3.负责促进就业工作，拟订统筹城乡的就业发展规划和政策，完善公共就业创业服务体系，拟订并组织落实创业、就业援助制度，完善职业资格制度，统筹建立面向城乡劳动者的职业培训制度，牵头拟订并实施高校毕业生就业政策。</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4.统筹建立覆盖城乡的多层次社会保障体系。拟订社会保险政策和标准。贯彻落实养老保险全国统筹办法和全国统一的养老、失业、工伤保险关系转续办法。组织拟订基本养老、企业年金、职业年金、失业、工伤保险基金管理和监督制度，编制全市社会保险基金预决算草案，参与制定全市社会保障基金投资政策。会同有关部门实施全民参保计划。拟订人力资源和社会保障信息化建设总体规划、年度计划，制订相关制度、标准和规范并组织实施。指导、督促企业参加工伤保险。</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5.负责就业、失业和相关社会保险基金预测预警和信息引导，拟订应对预案，实施预防、调节和控制，保持就业形势稳定和社会保险基金总体收支平衡。</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6.统筹拟订劳动人事争议调解仲裁制度，完善劳动关系协调机制，拟订职工工作时间、休息休假和假期制度，拟订消除非法使用童工政策和女工、未成年工的特殊劳动保护措施。依法督促用人单位在劳动用工、合同签订与履约时，载明劳动保护、劳动条件和职业危害防护等条款。组织实施劳动监察，协调劳动者维权工作，依法查处重大案件。</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7.牵头推进深化职称制度改革，拟订专业技术人员管理、继续教育和博士后管理等政策，负责高层次专业技术人才选拔和培养工作，拟订吸引国（境）外专家、留学人员来广（回广）工作或定居政策。组织拟订技能人才培养、评价、使用和激励制度。贯彻落实职业资格制度，健全职业技能多元化评价政策。指导、监督各级各类技工学校、民办职业培训机构按国家和省有关规定履行安全管理责任。</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8.会同有关部门指导事业单位人事制度改革，按照管理权限负责规范事业单位岗位设置、公开招聘、聘用合同等人事综合管理工作，拟订事业单位人员和机关工勤人员管理政策，将安全生产责任履行情况作为事业单位工作人员奖惩、考核的重要内容。</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9.贯彻执行事业单位人员工资收入分配政策和企业职工工资收入分配调控政策，贯彻落实企事业单位人员工资正常增长和支付保障政策，贯彻执行企事业单位人员福利和离退休政策。</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10.组织实施国家表彰奖励制度，综合管理政府奖励表彰工作，承担评比达标表彰等工作，根据授权承办以市委、市政府名义开展的奖励表彰活动。承办提请市人大常委会和市政府决定的人事任免事项。</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11.贯彻执行农民工工作相关政策和规划，协调解决重点难点问题，维护农民工合法权益。负责将安全生产纳入农民工技能培训内容。</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3"/>
        <w:rPr>
          <w:rFonts w:ascii="仿宋" w:hAnsi="仿宋" w:eastAsia="仿宋"/>
          <w:bCs/>
          <w:sz w:val="32"/>
          <w:szCs w:val="32"/>
        </w:rPr>
      </w:pPr>
      <w:r>
        <w:rPr>
          <w:rFonts w:hint="eastAsia" w:ascii="仿宋" w:hAnsi="仿宋" w:eastAsia="仿宋"/>
          <w:bCs/>
          <w:sz w:val="32"/>
          <w:szCs w:val="32"/>
        </w:rPr>
        <w:t>12.负责人力资源和社会保障领域内的对外交流与合作工作。</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3"/>
        <w:rPr>
          <w:rFonts w:ascii="仿宋" w:hAnsi="仿宋" w:eastAsia="仿宋"/>
          <w:bCs/>
          <w:sz w:val="32"/>
          <w:szCs w:val="32"/>
        </w:rPr>
      </w:pPr>
      <w:r>
        <w:rPr>
          <w:rFonts w:hint="eastAsia" w:ascii="仿宋" w:hAnsi="仿宋" w:eastAsia="仿宋"/>
          <w:bCs/>
          <w:sz w:val="32"/>
          <w:szCs w:val="32"/>
        </w:rPr>
        <w:t>13.承担职责范围内的安全生产和职业健康、生态环境保护、审批服务便民化等工作。</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3"/>
        <w:rPr>
          <w:rFonts w:ascii="仿宋" w:hAnsi="仿宋" w:eastAsia="仿宋"/>
          <w:bCs/>
          <w:sz w:val="32"/>
          <w:szCs w:val="32"/>
        </w:rPr>
      </w:pPr>
      <w:r>
        <w:rPr>
          <w:rFonts w:hint="eastAsia" w:ascii="仿宋" w:hAnsi="仿宋" w:eastAsia="仿宋"/>
          <w:bCs/>
          <w:sz w:val="32"/>
          <w:szCs w:val="32"/>
        </w:rPr>
        <w:t>14.完成市委、市政府交办的其他事项。</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ascii="仿宋" w:hAnsi="仿宋" w:eastAsia="仿宋"/>
          <w:bCs/>
          <w:sz w:val="32"/>
          <w:szCs w:val="32"/>
        </w:rPr>
      </w:pPr>
      <w:r>
        <w:rPr>
          <w:rFonts w:hint="eastAsia" w:ascii="仿宋" w:hAnsi="仿宋" w:eastAsia="仿宋"/>
          <w:bCs/>
          <w:sz w:val="32"/>
          <w:szCs w:val="32"/>
        </w:rPr>
        <w:t>15.职能转变。深入推进简政放权、放管结合、优化服务改革，进一步减少行政审批事项，规范和优化对外办理事项，贯彻落实国家职业资格目录清单管理制度，加强事中事后监管，创新就业和社会保障等公共服务方式，加强信息共享，提高公共服务水平。</w:t>
      </w:r>
    </w:p>
    <w:p>
      <w:pPr>
        <w:pStyle w:val="5"/>
        <w:keepNext w:val="0"/>
        <w:keepLines w:val="0"/>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pPr>
      <w:r>
        <w:rPr>
          <w:rFonts w:hint="eastAsia" w:ascii="仿宋" w:hAnsi="仿宋" w:eastAsia="仿宋"/>
          <w:bCs/>
          <w:sz w:val="32"/>
          <w:szCs w:val="32"/>
        </w:rPr>
        <w:t>16.有关职责分工。高校毕业生就业政策由市人力资源社会保障局牵头，会同教育等部门拟订。高校毕业生离校前的就业指导和服务工作，由教育部门负责；高校毕业生离校后的就业指导和服务工作，由市人力资源社会保障局负责。</w:t>
      </w:r>
    </w:p>
    <w:p>
      <w:pPr>
        <w:pStyle w:val="3"/>
        <w:rPr>
          <w:rFonts w:ascii="黑体" w:hAnsi="黑体" w:eastAsia="黑体"/>
          <w:b w:val="0"/>
        </w:rPr>
      </w:pPr>
      <w:bookmarkStart w:id="21" w:name="_Toc24371"/>
      <w:r>
        <w:rPr>
          <w:rFonts w:hint="eastAsia" w:ascii="黑体" w:hAnsi="黑体" w:eastAsia="黑体"/>
          <w:b w:val="0"/>
        </w:rPr>
        <w:t>二、2021年重点工作</w:t>
      </w:r>
      <w:bookmarkEnd w:id="19"/>
      <w:bookmarkEnd w:id="20"/>
      <w:r>
        <w:rPr>
          <w:rFonts w:hint="eastAsia" w:ascii="黑体" w:hAnsi="黑体" w:eastAsia="黑体"/>
          <w:b w:val="0"/>
        </w:rPr>
        <w:t>完成情况</w:t>
      </w:r>
      <w:bookmarkEnd w:id="21"/>
    </w:p>
    <w:p>
      <w:pPr>
        <w:spacing w:line="530" w:lineRule="exact"/>
        <w:ind w:firstLine="640" w:firstLineChars="200"/>
        <w:rPr>
          <w:rFonts w:ascii="仿宋" w:hAnsi="仿宋" w:eastAsia="仿宋"/>
          <w:kern w:val="0"/>
          <w:sz w:val="32"/>
          <w:szCs w:val="32"/>
        </w:rPr>
      </w:pPr>
      <w:r>
        <w:rPr>
          <w:rFonts w:hint="eastAsia" w:ascii="仿宋_GB2312" w:eastAsia="仿宋_GB2312"/>
          <w:sz w:val="32"/>
          <w:szCs w:val="32"/>
        </w:rPr>
        <w:t>2021年，我局深入贯彻习近平总书记系列重要讲话和指示批示精神，全面落实市第八次党代会、市“两会”决策部署，全力推进系统“六大任务”，目标任务全面或超额完成。全市城镇新增就业3.7万人，完成目标任务的107.55%，城镇登记失业率3.4%；农民工转移就业96.53万人，实现劳务收入270亿元。争取就业创业补助资金23196万元。城镇职工基本养老、工伤、失业保险分别参保66.35万、21.3万、16.09万人。城乡居民基本养老保险覆盖123.91万人。引进第十三批高层次人才104名，入选第十三批省学术和技术带头人2名，申报聘用专业技术二级岗位人选2名。劳动保障监察举报投诉案件到期结案率100%，劳动人事争议案件结案率95.6％、调解成功率70.3％。人才扶贫等工作在全省交流经验6次。农民工工作连续第三年受到省委、省政府通报表扬，我局被推荐表彰为“全国根治拖欠农民工工资工作先进集体”。</w:t>
      </w:r>
      <w:r>
        <w:rPr>
          <w:rFonts w:ascii="仿宋" w:hAnsi="仿宋" w:eastAsia="仿宋"/>
          <w:sz w:val="32"/>
          <w:szCs w:val="32"/>
        </w:rPr>
        <w:br w:type="page"/>
      </w:r>
    </w:p>
    <w:p>
      <w:pPr>
        <w:pStyle w:val="2"/>
        <w:ind w:right="440"/>
        <w:jc w:val="center"/>
        <w:rPr>
          <w:rStyle w:val="28"/>
          <w:rFonts w:ascii="黑体" w:hAnsi="黑体" w:eastAsia="黑体"/>
          <w:b w:val="0"/>
          <w:bCs/>
        </w:rPr>
      </w:pPr>
      <w:bookmarkStart w:id="22" w:name="_Toc15396602"/>
      <w:bookmarkStart w:id="23" w:name="_Toc25725"/>
      <w:bookmarkStart w:id="24" w:name="_Toc15377204"/>
      <w:bookmarkStart w:id="25" w:name="_Toc30451"/>
      <w:r>
        <w:rPr>
          <w:rFonts w:hint="eastAsia" w:ascii="黑体" w:hAnsi="黑体" w:eastAsia="黑体"/>
          <w:b w:val="0"/>
        </w:rPr>
        <w:t>第二部分 2021年度</w:t>
      </w:r>
      <w:r>
        <w:rPr>
          <w:rStyle w:val="28"/>
          <w:rFonts w:hint="eastAsia" w:ascii="黑体" w:hAnsi="黑体" w:eastAsia="黑体"/>
          <w:b w:val="0"/>
          <w:bCs/>
        </w:rPr>
        <w:t>单位决算情况说明</w:t>
      </w:r>
      <w:bookmarkEnd w:id="22"/>
      <w:bookmarkEnd w:id="23"/>
      <w:bookmarkEnd w:id="24"/>
      <w:bookmarkEnd w:id="25"/>
    </w:p>
    <w:p/>
    <w:p>
      <w:pPr>
        <w:pStyle w:val="27"/>
        <w:numPr>
          <w:ilvl w:val="0"/>
          <w:numId w:val="2"/>
        </w:numPr>
        <w:spacing w:line="600" w:lineRule="exact"/>
        <w:ind w:firstLineChars="0"/>
        <w:outlineLvl w:val="1"/>
        <w:rPr>
          <w:rStyle w:val="29"/>
          <w:rFonts w:ascii="黑体" w:hAnsi="黑体" w:eastAsia="黑体"/>
          <w:b w:val="0"/>
        </w:rPr>
      </w:pPr>
      <w:bookmarkStart w:id="26" w:name="_Toc15377205"/>
      <w:bookmarkStart w:id="27" w:name="_Toc24507"/>
      <w:bookmarkStart w:id="28"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6"/>
      <w:bookmarkEnd w:id="27"/>
      <w:bookmarkEnd w:id="28"/>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2021年度收、支总计2953.96万元。与2020年相比，收、支总计各增加330.78万元，增长12.61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rPr>
        <w:t>一是</w:t>
      </w:r>
      <w:r>
        <w:rPr>
          <w:rFonts w:hint="eastAsia" w:ascii="仿宋" w:hAnsi="仿宋" w:eastAsia="仿宋" w:cs="宋体"/>
          <w:kern w:val="0"/>
          <w:sz w:val="32"/>
          <w:szCs w:val="32"/>
        </w:rPr>
        <w:t>2021年较2020年新增“一卡通”阳光审批建设采购项目资金300万元；二是人员增多，公用经费和人员经费相应增加</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p>
    <w:p>
      <w:pPr>
        <w:pStyle w:val="5"/>
        <w:spacing w:before="93"/>
        <w:jc w:val="center"/>
      </w:pPr>
      <w:r>
        <w:drawing>
          <wp:inline distT="0" distB="0" distL="114300" distR="114300">
            <wp:extent cx="4171315" cy="2613025"/>
            <wp:effectExtent l="4445" t="5080" r="1524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7"/>
        <w:numPr>
          <w:ilvl w:val="0"/>
          <w:numId w:val="2"/>
        </w:numPr>
        <w:spacing w:line="600" w:lineRule="exact"/>
        <w:ind w:firstLineChars="0"/>
        <w:outlineLvl w:val="1"/>
        <w:rPr>
          <w:rStyle w:val="29"/>
          <w:rFonts w:ascii="黑体" w:hAnsi="黑体" w:eastAsia="黑体"/>
          <w:b w:val="0"/>
        </w:rPr>
      </w:pPr>
      <w:bookmarkStart w:id="29" w:name="_Toc9504"/>
      <w:bookmarkStart w:id="30" w:name="_Toc15377206"/>
      <w:bookmarkStart w:id="31" w:name="_Toc15396604"/>
      <w:r>
        <w:rPr>
          <w:rFonts w:hint="eastAsia" w:ascii="黑体" w:hAnsi="黑体" w:eastAsia="黑体"/>
          <w:sz w:val="32"/>
          <w:szCs w:val="32"/>
        </w:rPr>
        <w:t>收</w:t>
      </w:r>
      <w:r>
        <w:rPr>
          <w:rStyle w:val="29"/>
          <w:rFonts w:hint="eastAsia" w:ascii="黑体" w:hAnsi="黑体" w:eastAsia="黑体"/>
          <w:b w:val="0"/>
        </w:rPr>
        <w:t>入决算情况说明</w:t>
      </w:r>
      <w:bookmarkEnd w:id="29"/>
      <w:bookmarkEnd w:id="30"/>
      <w:bookmarkEnd w:id="31"/>
    </w:p>
    <w:p>
      <w:pPr>
        <w:spacing w:line="600" w:lineRule="exact"/>
        <w:ind w:firstLine="640" w:firstLineChars="200"/>
        <w:outlineLvl w:val="1"/>
        <w:rPr>
          <w:rFonts w:ascii="仿宋" w:hAnsi="仿宋" w:eastAsia="仿宋"/>
          <w:sz w:val="32"/>
          <w:szCs w:val="32"/>
        </w:rPr>
      </w:pPr>
      <w:bookmarkStart w:id="32" w:name="_Toc26182"/>
      <w:r>
        <w:rPr>
          <w:rFonts w:ascii="仿宋" w:hAnsi="仿宋" w:eastAsia="仿宋"/>
          <w:sz w:val="32"/>
          <w:szCs w:val="32"/>
        </w:rPr>
        <w:t>20</w:t>
      </w:r>
      <w:r>
        <w:rPr>
          <w:rFonts w:hint="eastAsia" w:ascii="仿宋" w:hAnsi="仿宋" w:eastAsia="仿宋"/>
          <w:sz w:val="32"/>
          <w:szCs w:val="32"/>
        </w:rPr>
        <w:t>21年本年收入合计2547.98万元，全部为一般公共预算财政拨款收入，占100</w:t>
      </w:r>
      <w:r>
        <w:rPr>
          <w:rFonts w:ascii="仿宋" w:hAnsi="仿宋" w:eastAsia="仿宋"/>
          <w:sz w:val="32"/>
          <w:szCs w:val="32"/>
        </w:rPr>
        <w:t>%</w:t>
      </w:r>
      <w:r>
        <w:rPr>
          <w:rFonts w:hint="eastAsia" w:ascii="仿宋" w:hAnsi="仿宋" w:eastAsia="仿宋"/>
          <w:sz w:val="32"/>
          <w:szCs w:val="32"/>
        </w:rPr>
        <w:t>。</w:t>
      </w:r>
      <w:bookmarkEnd w:id="32"/>
    </w:p>
    <w:p>
      <w:pPr>
        <w:pStyle w:val="5"/>
        <w:spacing w:before="93"/>
      </w:pPr>
    </w:p>
    <w:p>
      <w:pPr>
        <w:pStyle w:val="5"/>
        <w:spacing w:before="93"/>
        <w:rPr>
          <w:rFonts w:ascii="仿宋" w:hAnsi="仿宋" w:eastAsia="仿宋"/>
          <w:b/>
          <w:sz w:val="32"/>
          <w:szCs w:val="32"/>
        </w:rPr>
      </w:pPr>
    </w:p>
    <w:p>
      <w:pPr>
        <w:pStyle w:val="5"/>
        <w:spacing w:before="93"/>
        <w:jc w:val="center"/>
      </w:pPr>
      <w:r>
        <w:pict>
          <v:shape id="_x0000_s1026" o:spid="_x0000_s1026" o:spt="32" type="#_x0000_t32" style="position:absolute;left:0pt;flip:x;margin-left:244.3pt;margin-top:60.65pt;height:28.05pt;width:44.5pt;z-index:251660288;mso-width-relative:page;mso-height-relative:page;" filled="f" stroked="t" coordsize="21600,21600" o:gfxdata="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KLXOdkAAAALAQAADwAAAAAAAAABACAAAAAiAAAAZHJzL2Rvd25yZXYu&#10;eG1sUEsBAhQAFAAAAAgAh07iQCKSkXIzAgAALAQAAA4AAAAAAAAAAQAgAAAAKAEAAGRycy9lMm9E&#10;b2MueG1sUEsFBgAAAAAGAAYAWQEAAM0FAAAAAA==&#10;">
            <v:path arrowok="t"/>
            <v:fill on="f" focussize="0,0"/>
            <v:stroke color="#000000" endarrow="open"/>
            <v:imagedata o:title=""/>
            <o:lock v:ext="edit"/>
          </v:shape>
        </w:pict>
      </w:r>
      <w:r>
        <w:pict>
          <v:shape id="_x0000_s1041" o:spid="_x0000_s1041" o:spt="202" type="#_x0000_t202" style="position:absolute;left:0pt;margin-left:280.7pt;margin-top:23.6pt;height:93.95pt;width:77.5pt;z-index:251659264;mso-width-relative:page;mso-height-relative:page;" filled="f" stroked="f" coordsize="21600,21600" o:gfxdata="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81D/cAAAACgEAAA8AAAAAAAAA&#10;AQAgAAAAIgAAAGRycy9kb3ducmV2LnhtbFBLAQIUABQAAAAIAIdO4kBJwOMIRgIAAHIEAAAOAAAA&#10;AAAAAAEAIAAAACsBAABkcnMvZTJvRG9jLnhtbFBLBQYAAAAABgAGAFkBAADjBQAAAAA=&#10;">
            <v:path/>
            <v:fill on="f" focussize="0,0"/>
            <v:stroke on="f" weight="0.5pt" joinstyle="miter"/>
            <v:imagedata o:title=""/>
            <o:lock v:ext="edit"/>
            <v:textbox>
              <w:txbxContent>
                <w:p>
                  <w:r>
                    <w:rPr>
                      <w:rFonts w:hint="eastAsia"/>
                    </w:rPr>
                    <w:t>一般公共预算财政拨款收入2547.98万元，占本年收入合计100%</w:t>
                  </w:r>
                </w:p>
                <w:p/>
              </w:txbxContent>
            </v:textbox>
          </v:shape>
        </w:pict>
      </w:r>
      <w:r>
        <w:drawing>
          <wp:inline distT="0" distB="0" distL="114300" distR="114300">
            <wp:extent cx="4344670" cy="2317115"/>
            <wp:effectExtent l="6350" t="6350" r="11430" b="1968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spacing w:before="93"/>
        <w:jc w:val="center"/>
        <w:rPr>
          <w:sz w:val="32"/>
          <w:szCs w:val="32"/>
        </w:rPr>
      </w:pPr>
      <w:r>
        <w:rPr>
          <w:rFonts w:hint="eastAsia" w:ascii="仿宋" w:hAnsi="仿宋" w:eastAsia="仿宋"/>
          <w:sz w:val="32"/>
          <w:szCs w:val="32"/>
        </w:rPr>
        <w:t>（图2：收入决算结构图）</w:t>
      </w:r>
    </w:p>
    <w:p>
      <w:pPr>
        <w:pStyle w:val="27"/>
        <w:numPr>
          <w:ilvl w:val="0"/>
          <w:numId w:val="2"/>
        </w:numPr>
        <w:spacing w:line="600" w:lineRule="exact"/>
        <w:ind w:firstLineChars="0"/>
        <w:outlineLvl w:val="1"/>
        <w:rPr>
          <w:rStyle w:val="29"/>
          <w:rFonts w:ascii="黑体" w:hAnsi="黑体" w:eastAsia="黑体"/>
          <w:b w:val="0"/>
        </w:rPr>
      </w:pPr>
      <w:bookmarkStart w:id="33" w:name="_Toc15377207"/>
      <w:bookmarkStart w:id="34" w:name="_Toc15396605"/>
      <w:bookmarkStart w:id="35" w:name="_Toc2754"/>
      <w:r>
        <w:rPr>
          <w:rFonts w:hint="eastAsia" w:ascii="黑体" w:hAnsi="黑体" w:eastAsia="黑体"/>
          <w:sz w:val="32"/>
          <w:szCs w:val="32"/>
        </w:rPr>
        <w:t>支</w:t>
      </w:r>
      <w:r>
        <w:rPr>
          <w:rStyle w:val="29"/>
          <w:rFonts w:hint="eastAsia" w:ascii="黑体" w:hAnsi="黑体" w:eastAsia="黑体"/>
          <w:b w:val="0"/>
        </w:rPr>
        <w:t>出决算情况说明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20917"/>
      <w:r>
        <w:rPr>
          <w:rFonts w:ascii="仿宋" w:hAnsi="仿宋" w:eastAsia="仿宋"/>
          <w:sz w:val="32"/>
          <w:szCs w:val="32"/>
        </w:rPr>
        <w:t>20</w:t>
      </w:r>
      <w:r>
        <w:rPr>
          <w:rFonts w:hint="eastAsia" w:ascii="仿宋" w:hAnsi="仿宋" w:eastAsia="仿宋"/>
          <w:sz w:val="32"/>
          <w:szCs w:val="32"/>
        </w:rPr>
        <w:t>21年本年支出合计2309.50万元，其中：基本支出1624.49万元，占70.34</w:t>
      </w:r>
      <w:r>
        <w:rPr>
          <w:rFonts w:ascii="仿宋" w:hAnsi="仿宋" w:eastAsia="仿宋"/>
          <w:sz w:val="32"/>
          <w:szCs w:val="32"/>
        </w:rPr>
        <w:t>%</w:t>
      </w:r>
      <w:r>
        <w:rPr>
          <w:rFonts w:hint="eastAsia" w:ascii="仿宋" w:hAnsi="仿宋" w:eastAsia="仿宋"/>
          <w:sz w:val="32"/>
          <w:szCs w:val="32"/>
        </w:rPr>
        <w:t>；项目支出685.01万元，占29.66</w:t>
      </w:r>
      <w:r>
        <w:rPr>
          <w:rFonts w:ascii="仿宋" w:hAnsi="仿宋" w:eastAsia="仿宋"/>
          <w:sz w:val="32"/>
          <w:szCs w:val="32"/>
        </w:rPr>
        <w:t>%</w:t>
      </w:r>
      <w:r>
        <w:rPr>
          <w:rFonts w:hint="eastAsia" w:ascii="仿宋" w:hAnsi="仿宋" w:eastAsia="仿宋"/>
          <w:sz w:val="32"/>
          <w:szCs w:val="32"/>
        </w:rPr>
        <w:t>。</w:t>
      </w:r>
      <w:bookmarkEnd w:id="36"/>
    </w:p>
    <w:p>
      <w:pPr>
        <w:pStyle w:val="5"/>
        <w:spacing w:before="93"/>
        <w:jc w:val="center"/>
      </w:pPr>
      <w:r>
        <w:pict>
          <v:shape id="_x0000_s1040" o:spid="_x0000_s1040" o:spt="202" type="#_x0000_t202" style="position:absolute;left:0pt;margin-left:143.05pt;margin-top:116.95pt;height:44.5pt;width:84.9pt;z-index:251663360;mso-width-relative:page;mso-height-relative:page;" filled="f" stroked="f" coordsize="21600,21600" o:gfxdata="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SzTJ3AAAAAsBAAAPAAAAAAAA&#10;AAEAIAAAACIAAABkcnMvZG93bnJldi54bWxQSwECFAAUAAAACACHTuJAzI8pVkcCAAByBAAADgAA&#10;AAAAAAABACAAAAArAQAAZHJzL2Uyb0RvYy54bWxQSwUGAAAAAAYABgBZAQAA5AUAAAAA&#10;">
            <v:path/>
            <v:fill on="f" focussize="0,0"/>
            <v:stroke on="f" weight="0.5pt" joinstyle="miter"/>
            <v:imagedata o:title=""/>
            <o:lock v:ext="edit"/>
            <v:textbox>
              <w:txbxContent>
                <w:p>
                  <w:r>
                    <w:rPr>
                      <w:rFonts w:hint="eastAsia"/>
                    </w:rPr>
                    <w:t>1624.49万元，占比70.34%</w:t>
                  </w:r>
                </w:p>
              </w:txbxContent>
            </v:textbox>
          </v:shape>
        </w:pict>
      </w:r>
      <w:r>
        <w:pict>
          <v:shape id="_x0000_s1039" o:spid="_x0000_s1039" o:spt="32" type="#_x0000_t32" style="position:absolute;left:0pt;margin-left:129.05pt;margin-top:46pt;height:37.95pt;width:18.95pt;z-index:251662336;mso-width-relative:page;mso-height-relative:page;" filled="f" stroked="t" coordsize="21600,21600" o:gfxdata="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II85dgAAAAKAQAADwAAAAAAAAABACAAAAAiAAAA&#10;ZHJzL2Rvd25yZXYueG1sUEsBAhQAFAAAAAgAh07iQALx1M0HAgAA1wMAAA4AAAAAAAAAAQAgAAAA&#10;JwEAAGRycy9lMm9Eb2MueG1sUEsFBgAAAAAGAAYAWQEAAKAFAAAAAA==&#10;">
            <v:path arrowok="t"/>
            <v:fill on="f" focussize="0,0"/>
            <v:stroke color="#000000" endarrow="open"/>
            <v:imagedata o:title=""/>
            <o:lock v:ext="edit"/>
          </v:shape>
        </w:pict>
      </w:r>
      <w:r>
        <w:pict>
          <v:shape id="_x0000_s1038" o:spid="_x0000_s1038" o:spt="202" type="#_x0000_t202" style="position:absolute;left:0pt;margin-left:74.65pt;margin-top:9.8pt;height:40.4pt;width:80.85pt;z-index:251661312;mso-width-relative:page;mso-height-relative:page;" filled="f" stroked="f" coordsize="21600,21600" o:gfxdata="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vzn62gAAAAoBAAAPAAAAAAAAAAEA&#10;IAAAACIAAABkcnMvZG93bnJldi54bWxQSwECFAAUAAAACACHTuJAexSmMUYCAAByBAAADgAAAAAA&#10;AAABACAAAAApAQAAZHJzL2Uyb0RvYy54bWxQSwUGAAAAAAYABgBZAQAA4QUAAAAA&#10;">
            <v:path/>
            <v:fill on="f" focussize="0,0"/>
            <v:stroke on="f" weight="0.5pt" joinstyle="miter"/>
            <v:imagedata o:title=""/>
            <o:lock v:ext="edit"/>
            <v:textbox>
              <w:txbxContent>
                <w:p>
                  <w:r>
                    <w:rPr>
                      <w:rFonts w:hint="eastAsia"/>
                    </w:rPr>
                    <w:t>685.01万元，占比29.66%</w:t>
                  </w:r>
                </w:p>
              </w:txbxContent>
            </v:textbox>
          </v:shape>
        </w:pict>
      </w:r>
      <w:r>
        <w:drawing>
          <wp:inline distT="0" distB="0" distL="114300" distR="114300">
            <wp:extent cx="4420235" cy="2160905"/>
            <wp:effectExtent l="6350" t="6350" r="12065" b="234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9"/>
          <w:rFonts w:ascii="黑体" w:hAnsi="黑体" w:eastAsia="黑体"/>
          <w:b w:val="0"/>
        </w:rPr>
      </w:pPr>
      <w:bookmarkStart w:id="37" w:name="_Toc15396606"/>
      <w:bookmarkStart w:id="38" w:name="_Toc15377208"/>
      <w:bookmarkStart w:id="39" w:name="_Toc2331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7"/>
      <w:bookmarkEnd w:id="38"/>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21年财政拨款收、支总计2953.57万元。与</w:t>
      </w:r>
      <w:r>
        <w:rPr>
          <w:rFonts w:ascii="仿宋" w:hAnsi="仿宋" w:eastAsia="仿宋"/>
          <w:sz w:val="32"/>
          <w:szCs w:val="32"/>
        </w:rPr>
        <w:t>20</w:t>
      </w:r>
      <w:r>
        <w:rPr>
          <w:rFonts w:hint="eastAsia" w:ascii="仿宋" w:hAnsi="仿宋" w:eastAsia="仿宋"/>
          <w:sz w:val="32"/>
          <w:szCs w:val="32"/>
        </w:rPr>
        <w:t>20年相比，财政拨款收、支总计各增加330.79万元，增长12.61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rPr>
        <w:t>一是</w:t>
      </w:r>
      <w:r>
        <w:rPr>
          <w:rFonts w:hint="eastAsia" w:ascii="仿宋" w:hAnsi="仿宋" w:eastAsia="仿宋" w:cs="宋体"/>
          <w:kern w:val="0"/>
          <w:sz w:val="32"/>
          <w:szCs w:val="32"/>
        </w:rPr>
        <w:t>2021年较2020年新增“一卡通”阳光审批建设采购资金项目300万元；二是人员增多，公用经费和人员经费相应增加</w:t>
      </w:r>
      <w:r>
        <w:rPr>
          <w:rFonts w:hint="eastAsia" w:ascii="仿宋" w:hAnsi="仿宋" w:eastAsia="仿宋"/>
          <w:sz w:val="32"/>
          <w:szCs w:val="32"/>
        </w:rPr>
        <w:t>。</w:t>
      </w:r>
    </w:p>
    <w:p>
      <w:pPr>
        <w:pStyle w:val="5"/>
        <w:spacing w:before="93"/>
        <w:jc w:val="center"/>
        <w:rPr>
          <w:rFonts w:ascii="仿宋" w:hAnsi="仿宋" w:eastAsia="仿宋"/>
          <w:sz w:val="32"/>
          <w:szCs w:val="32"/>
        </w:rPr>
      </w:pPr>
      <w:r>
        <w:pict>
          <v:shape id="_x0000_s1037" o:spid="_x0000_s1037" o:spt="202" type="#_x0000_t202" style="position:absolute;left:0pt;margin-left:103.55pt;margin-top:76.1pt;height:31.3pt;width:75.8pt;z-index:251664384;mso-width-relative:page;mso-height-relative:page;" filled="f" stroked="f" coordsize="21600,21600" o:gfxdata="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M54U7bAAAACwEAAA8AAAAAAAAA&#10;AQAgAAAAIgAAAGRycy9kb3ducmV2LnhtbFBLAQIUABQAAAAIAIdO4kC2ZgwXRwIAAHMEAAAOAAAA&#10;AAAAAAEAIAAAACoBAABkcnMvZTJvRG9jLnhtbFBLBQYAAAAABgAGAFkBAADjBQAAAAA=&#10;">
            <v:path/>
            <v:fill on="f" focussize="0,0"/>
            <v:stroke on="f" weight="0.5pt" joinstyle="miter"/>
            <v:imagedata o:title=""/>
            <o:lock v:ext="edit"/>
            <v:textbox>
              <w:txbxContent>
                <w:p>
                  <w:r>
                    <w:rPr>
                      <w:rFonts w:hint="eastAsia"/>
                    </w:rPr>
                    <w:t>2622.78万元</w:t>
                  </w:r>
                </w:p>
              </w:txbxContent>
            </v:textbox>
          </v:shape>
        </w:pict>
      </w:r>
      <w:r>
        <w:pict>
          <v:shape id="_x0000_s1036" o:spid="_x0000_s1036" o:spt="202" type="#_x0000_t202" style="position:absolute;left:0pt;margin-left:256.8pt;margin-top:10.15pt;height:23.15pt;width:84.9pt;z-index:251665408;mso-width-relative:page;mso-height-relative:page;" filled="f" stroked="f" coordsize="21600,21600" o:gfxdata="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b4DNc2wAAAAkBAAAPAAAAAAAA&#10;AAEAIAAAACIAAABkcnMvZG93bnJldi54bWxQSwECFAAUAAAACACHTuJAwmQ9/kgCAAB0BAAADgAA&#10;AAAAAAABACAAAAAqAQAAZHJzL2Uyb0RvYy54bWxQSwUGAAAAAAYABgBZAQAA5AUAAAAA&#10;">
            <v:path/>
            <v:fill on="f" focussize="0,0"/>
            <v:stroke on="f" weight="0.5pt" joinstyle="miter"/>
            <v:imagedata o:title=""/>
            <o:lock v:ext="edit"/>
            <v:textbox>
              <w:txbxContent>
                <w:p>
                  <w:r>
                    <w:rPr>
                      <w:rFonts w:hint="eastAsia"/>
                    </w:rPr>
                    <w:t>2953.57万元</w:t>
                  </w:r>
                </w:p>
              </w:txbxContent>
            </v:textbox>
          </v:shape>
        </w:pict>
      </w:r>
      <w:r>
        <w:drawing>
          <wp:inline distT="0" distB="0" distL="114300" distR="114300">
            <wp:extent cx="4509770" cy="2028825"/>
            <wp:effectExtent l="6350" t="6350" r="17780" b="2222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jc w:val="center"/>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9"/>
          <w:rFonts w:ascii="黑体" w:hAnsi="黑体" w:eastAsia="黑体"/>
          <w:b w:val="0"/>
        </w:rPr>
      </w:pPr>
      <w:bookmarkStart w:id="40" w:name="_Toc15377209"/>
      <w:bookmarkStart w:id="41" w:name="_Toc29184"/>
      <w:bookmarkStart w:id="42"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pPr>
        <w:spacing w:line="600" w:lineRule="exact"/>
        <w:ind w:firstLine="640"/>
      </w:pPr>
      <w:r>
        <w:rPr>
          <w:rFonts w:ascii="仿宋" w:hAnsi="仿宋" w:eastAsia="仿宋"/>
          <w:sz w:val="32"/>
          <w:szCs w:val="32"/>
        </w:rPr>
        <w:t>20</w:t>
      </w:r>
      <w:r>
        <w:rPr>
          <w:rFonts w:hint="eastAsia" w:ascii="仿宋" w:hAnsi="仿宋" w:eastAsia="仿宋"/>
          <w:sz w:val="32"/>
          <w:szCs w:val="32"/>
        </w:rPr>
        <w:t>21年一般公共预算财政拨款支出2309.17万元，占本年支出合计的100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20年相比，一般公共预算财政拨款支出增加91.76万元，增长4.14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宋体"/>
          <w:kern w:val="0"/>
          <w:sz w:val="32"/>
          <w:szCs w:val="32"/>
        </w:rPr>
        <w:t>新增“一卡通”阳光审批建设采购资金项目部分支出；二是人员增多，公用经费支出和人员经费支出增加。</w:t>
      </w:r>
    </w:p>
    <w:p>
      <w:pPr>
        <w:pStyle w:val="5"/>
        <w:spacing w:before="93"/>
        <w:jc w:val="center"/>
        <w:rPr>
          <w:rFonts w:ascii="仿宋" w:hAnsi="仿宋" w:eastAsia="仿宋"/>
          <w:sz w:val="32"/>
          <w:szCs w:val="32"/>
        </w:rPr>
      </w:pPr>
      <w:r>
        <w:drawing>
          <wp:inline distT="0" distB="0" distL="114300" distR="114300">
            <wp:extent cx="4279265" cy="2207260"/>
            <wp:effectExtent l="6350" t="6350" r="19685" b="1524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pict>
          <v:shape id="_x0000_s1035" o:spid="_x0000_s1035" o:spt="202" type="#_x0000_t202" style="position:absolute;left:0pt;margin-left:106.05pt;margin-top:88.4pt;height:23.1pt;width:69.2pt;z-index:251666432;mso-width-relative:page;mso-height-relative:page;" filled="f" stroked="f" coordsize="21600,21600" o:gfxdata="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pxlmtoAAAALAQAADwAAAAAAAAAB&#10;ACAAAAAiAAAAZHJzL2Rvd25yZXYueG1sUEsBAhQAFAAAAAgAh07iQNyq0XdHAgAAcwQAAA4AAAAA&#10;AAAAAQAgAAAAKQEAAGRycy9lMm9Eb2MueG1sUEsFBgAAAAAGAAYAWQEAAOIFAAAAAA==&#10;">
            <v:path/>
            <v:fill on="f" focussize="0,0"/>
            <v:stroke on="f" weight="0.5pt" joinstyle="miter"/>
            <v:imagedata o:title=""/>
            <o:lock v:ext="edit"/>
            <v:textbox>
              <w:txbxContent>
                <w:p>
                  <w:r>
                    <w:rPr>
                      <w:rFonts w:hint="eastAsia"/>
                    </w:rPr>
                    <w:t>2217.4万元</w:t>
                  </w:r>
                </w:p>
              </w:txbxContent>
            </v:textbox>
          </v:shape>
        </w:pict>
      </w:r>
      <w:r>
        <w:pict>
          <v:shape id="_x0000_s1034" o:spid="_x0000_s1034" o:spt="202" type="#_x0000_t202" style="position:absolute;left:0pt;margin-left:254.4pt;margin-top:13.45pt;height:21.4pt;width:72.55pt;z-index:251667456;mso-width-relative:page;mso-height-relative:page;" filled="f" stroked="f" coordsize="21600,21600" o:gfxdata="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khiv9oAAAAJAQAADwAAAAAAAAAB&#10;ACAAAAAiAAAAZHJzL2Rvd25yZXYueG1sUEsBAhQAFAAAAAgAh07iQD9HjX1HAgAAcwQAAA4AAAAA&#10;AAAAAQAgAAAAKQEAAGRycy9lMm9Eb2MueG1sUEsFBgAAAAAGAAYAWQEAAOIFAAAAAA==&#10;">
            <v:path/>
            <v:fill on="f" focussize="0,0"/>
            <v:stroke on="f" weight="0.5pt" joinstyle="miter"/>
            <v:imagedata o:title=""/>
            <o:lock v:ext="edit"/>
            <v:textbox>
              <w:txbxContent>
                <w:p>
                  <w:pPr>
                    <w:rPr>
                      <w:color w:val="000000" w:themeColor="text1"/>
                    </w:rPr>
                  </w:pPr>
                  <w:r>
                    <w:rPr>
                      <w:rFonts w:hint="eastAsia"/>
                      <w:color w:val="000000" w:themeColor="text1"/>
                    </w:rPr>
                    <w:t>2309.17万元</w:t>
                  </w:r>
                </w:p>
              </w:txbxContent>
            </v:textbox>
          </v:shape>
        </w:pict>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21年一般公共预算财政拨款支出2309.17万元，主要用于以下方面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支出16.8万元，占0.73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支出2129.3</w:t>
      </w:r>
      <w:r>
        <w:rPr>
          <w:rFonts w:hint="eastAsia" w:ascii="仿宋" w:hAnsi="仿宋" w:eastAsia="仿宋"/>
          <w:sz w:val="32"/>
          <w:szCs w:val="32"/>
          <w:lang w:val="en-US" w:eastAsia="zh-CN"/>
        </w:rPr>
        <w:t>7</w:t>
      </w:r>
      <w:r>
        <w:rPr>
          <w:rFonts w:hint="eastAsia" w:ascii="仿宋" w:hAnsi="仿宋" w:eastAsia="仿宋"/>
          <w:sz w:val="32"/>
          <w:szCs w:val="32"/>
        </w:rPr>
        <w:t>万元，占92.21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48.1</w:t>
      </w:r>
      <w:r>
        <w:rPr>
          <w:rFonts w:hint="eastAsia" w:ascii="仿宋" w:hAnsi="仿宋" w:eastAsia="仿宋"/>
          <w:sz w:val="32"/>
          <w:szCs w:val="32"/>
          <w:lang w:val="en-US" w:eastAsia="zh-CN"/>
        </w:rPr>
        <w:t>6</w:t>
      </w:r>
      <w:r>
        <w:rPr>
          <w:rFonts w:hint="eastAsia" w:ascii="仿宋" w:hAnsi="仿宋" w:eastAsia="仿宋"/>
          <w:sz w:val="32"/>
          <w:szCs w:val="32"/>
        </w:rPr>
        <w:t>万元，占2.09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w:t>
      </w:r>
      <w:r>
        <w:rPr>
          <w:rFonts w:hint="eastAsia" w:ascii="仿宋" w:hAnsi="仿宋" w:eastAsia="仿宋"/>
          <w:sz w:val="32"/>
          <w:szCs w:val="32"/>
        </w:rPr>
        <w:t>114.82万元，占4.97</w:t>
      </w:r>
      <w:r>
        <w:rPr>
          <w:rFonts w:ascii="仿宋" w:hAnsi="仿宋" w:eastAsia="仿宋"/>
          <w:sz w:val="32"/>
          <w:szCs w:val="32"/>
        </w:rPr>
        <w:t>%</w:t>
      </w:r>
      <w:r>
        <w:rPr>
          <w:rFonts w:hint="eastAsia" w:ascii="仿宋" w:hAnsi="仿宋" w:eastAsia="仿宋"/>
          <w:sz w:val="32"/>
          <w:szCs w:val="32"/>
        </w:rPr>
        <w:t>。</w:t>
      </w:r>
    </w:p>
    <w:p>
      <w:pPr>
        <w:pStyle w:val="5"/>
        <w:spacing w:beforeLines="0"/>
      </w:pPr>
    </w:p>
    <w:p>
      <w:pPr>
        <w:pStyle w:val="5"/>
        <w:spacing w:beforeLines="0"/>
        <w:jc w:val="center"/>
      </w:pPr>
      <w:r>
        <w:pict>
          <v:shape id="_x0000_s1033" o:spid="_x0000_s1033" o:spt="32" type="#_x0000_t32" style="position:absolute;left:0pt;flip:x y;margin-left:139.8pt;margin-top:39.65pt;height:12.8pt;width:85.7pt;z-index:251674624;mso-width-relative:page;mso-height-relative:page;" filled="f" stroked="t" coordsize="21600,21600" o:gfxdata="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dNIkdgAAAAKAQAADwAAAAAAAAAB&#10;ACAAAAAiAAAAZHJzL2Rvd25yZXYueG1sUEsBAhQAFAAAAAgAh07iQH4RGjlJAgAAYAQAAA4AAAAA&#10;AAAAAQAgAAAAJwEAAGRycy9lMm9Eb2MueG1sUEsFBgAAAAAGAAYAWQEAAOIFAAAAAA==&#10;">
            <v:path arrowok="t"/>
            <v:fill on="f" focussize="0,0"/>
            <v:stroke color="#000000" endarrow="open"/>
            <v:imagedata o:title=""/>
            <o:lock v:ext="edit"/>
          </v:shape>
        </w:pict>
      </w:r>
      <w:r>
        <w:pict>
          <v:shape id="_x0000_s1032" o:spid="_x0000_s1032" o:spt="202" type="#_x0000_t202" style="position:absolute;left:0pt;margin-left:225.5pt;margin-top:41.3pt;height:22.3pt;width:68.4pt;z-index:251673600;mso-width-relative:page;mso-height-relative:page;" fillcolor="#FFFFFF" filled="t" stroked="f" coordsize="21600,21600" o:gfxdata="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Q6aznW&#10;AAAACgEAAA8AAAAAAAAAAQAgAAAAIgAAAGRycy9kb3ducmV2LnhtbFBLAQIUABQAAAAIAIdO4kDf&#10;ly1vWwIAAJwEAAAOAAAAAAAAAAEAIAAAACUBAABkcnMvZTJvRG9jLnhtbFBLBQYAAAAABgAGAFkB&#10;AADyBQAAAAA=&#10;">
            <v:path/>
            <v:fill on="t" focussize="0,0"/>
            <v:stroke on="f" weight="0.5pt" joinstyle="miter"/>
            <v:imagedata o:title=""/>
            <o:lock v:ext="edit"/>
            <v:textbox>
              <w:txbxContent>
                <w:p>
                  <w:r>
                    <w:rPr>
                      <w:rFonts w:hint="eastAsia"/>
                    </w:rPr>
                    <w:t>占4.97%</w:t>
                  </w:r>
                </w:p>
              </w:txbxContent>
            </v:textbox>
          </v:shape>
        </w:pict>
      </w:r>
      <w:r>
        <w:pict>
          <v:shape id="_x0000_s1031" o:spid="_x0000_s1031" o:spt="32" type="#_x0000_t32" style="position:absolute;left:0pt;flip:x;margin-left:119.2pt;margin-top:19.05pt;height:7.4pt;width:67.55pt;z-index:251672576;mso-width-relative:page;mso-height-relative:page;" filled="f" stroked="t" coordsize="21600,21600" o:gfxdata="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vCq7jZAAAACQEAAA8AAAAAAAAAAQAgAAAA&#10;IgAAAGRycy9kb3ducmV2LnhtbFBLAQIUABQAAAAIAIdO4kDHfouqQwIAAFQEAAAOAAAAAAAAAAEA&#10;IAAAACgBAABkcnMvZTJvRG9jLnhtbFBLBQYAAAAABgAGAFkBAADdBQAAAAA=&#10;">
            <v:path arrowok="t"/>
            <v:fill on="f" focussize="0,0"/>
            <v:stroke color="#000000" endarrow="open"/>
            <v:imagedata o:title=""/>
            <o:lock v:ext="edit"/>
          </v:shape>
        </w:pict>
      </w:r>
      <w:r>
        <w:pict>
          <v:shape id="_x0000_s1030" o:spid="_x0000_s1030" o:spt="202" type="#_x0000_t202" style="position:absolute;left:0pt;margin-left:186.75pt;margin-top:7.45pt;height:23.15pt;width:56.95pt;z-index:251671552;mso-width-relative:page;mso-height-relative:page;" filled="f" stroked="f" coordsize="21600,21600" o:gfxdata="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RtZgdsAAAAJAQAADwAAAAAAAAAB&#10;ACAAAAAiAAAAZHJzL2Rvd25yZXYueG1sUEsBAhQAFAAAAAgAh07iQHYhFkVGAgAAcwQAAA4AAAAA&#10;AAAAAQAgAAAAKgEAAGRycy9lMm9Eb2MueG1sUEsFBgAAAAAGAAYAWQEAAOIFAAAAAA==&#10;">
            <v:path/>
            <v:fill on="f" focussize="0,0"/>
            <v:stroke on="f" weight="0.5pt" joinstyle="miter"/>
            <v:imagedata o:title=""/>
            <o:lock v:ext="edit"/>
            <v:textbox>
              <w:txbxContent>
                <w:p>
                  <w:r>
                    <w:rPr>
                      <w:rFonts w:hint="eastAsia"/>
                    </w:rPr>
                    <w:t>占2.09%</w:t>
                  </w:r>
                </w:p>
              </w:txbxContent>
            </v:textbox>
          </v:shape>
        </w:pict>
      </w:r>
      <w:r>
        <w:pict>
          <v:shape id="_x0000_s1029" o:spid="_x0000_s1029" o:spt="202" type="#_x0000_t202" style="position:absolute;left:0pt;margin-left:36.8pt;margin-top:25.65pt;height:27.9pt;width:61.9pt;z-index:251669504;mso-width-relative:page;mso-height-relative:page;" filled="f" stroked="f" coordsize="21600,21600" o:gfxdata="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O4euNsAAAAJAQAADwAAAAAAAAAB&#10;ACAAAAAiAAAAZHJzL2Rvd25yZXYueG1sUEsBAhQAFAAAAAgAh07iQCG3KJpGAgAAcwQAAA4AAAAA&#10;AAAAAQAgAAAAKgEAAGRycy9lMm9Eb2MueG1sUEsFBgAAAAAGAAYAWQEAAOIFAAAAAA==&#10;">
            <v:path/>
            <v:fill on="f" focussize="0,0"/>
            <v:stroke on="f" weight="0.5pt" joinstyle="miter"/>
            <v:imagedata o:title=""/>
            <o:lock v:ext="edit"/>
            <v:textbox>
              <w:txbxContent>
                <w:p>
                  <w:r>
                    <w:rPr>
                      <w:rFonts w:hint="eastAsia"/>
                    </w:rPr>
                    <w:t>占0.73%</w:t>
                  </w:r>
                </w:p>
              </w:txbxContent>
            </v:textbox>
          </v:shape>
        </w:pict>
      </w:r>
      <w:r>
        <w:pict>
          <v:shape id="_x0000_s1028" o:spid="_x0000_s1028" o:spt="32" type="#_x0000_t32" style="position:absolute;left:0pt;flip:y;margin-left:74.7pt;margin-top:26.4pt;height:6.65pt;width:38.85pt;z-index:251670528;mso-width-relative:page;mso-height-relative:page;" filled="f" stroked="t" coordsize="21600,21600" o:gfxdata="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2BBL9cAAAAJAQAADwAAAAAAAAAB&#10;ACAAAAAiAAAAZHJzL2Rvd25yZXYueG1sUEsBAhQAFAAAAAgAh07iQHxDwoMRAgAA4gMAAA4AAAAA&#10;AAAAAQAgAAAAJgEAAGRycy9lMm9Eb2MueG1sUEsFBgAAAAAGAAYAWQEAAKkFAAAAAA==&#10;">
            <v:path arrowok="t"/>
            <v:fill on="f" focussize="0,0"/>
            <v:stroke color="#000000" endarrow="open"/>
            <v:imagedata o:title=""/>
            <o:lock v:ext="edit"/>
          </v:shape>
        </w:pict>
      </w:r>
      <w:r>
        <w:pict>
          <v:shape id="_x0000_s1027" o:spid="_x0000_s1027" o:spt="202" type="#_x0000_t202" style="position:absolute;left:0pt;margin-left:132.35pt;margin-top:119.6pt;height:23.95pt;width:74.25pt;z-index:251668480;mso-width-relative:page;mso-height-relative:page;" filled="f" stroked="f" coordsize="21600,21600" o:gfxdata="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jzgR3AAAAAsBAAAPAAAAAAAA&#10;AAEAIAAAACIAAABkcnMvZG93bnJldi54bWxQSwECFAAUAAAACACHTuJAIzHZQkcCAABxBAAADgAA&#10;AAAAAAABACAAAAArAQAAZHJzL2Uyb0RvYy54bWxQSwUGAAAAAAYABgBZAQAA5AUAAAAA&#10;">
            <v:path/>
            <v:fill on="f" focussize="0,0"/>
            <v:stroke on="f" weight="0.5pt" joinstyle="miter"/>
            <v:imagedata o:title=""/>
            <o:lock v:ext="edit"/>
            <v:textbox>
              <w:txbxContent>
                <w:p>
                  <w:r>
                    <w:rPr>
                      <w:rFonts w:hint="eastAsia"/>
                    </w:rPr>
                    <w:t>占92.21%</w:t>
                  </w:r>
                </w:p>
              </w:txbxContent>
            </v:textbox>
          </v:shape>
        </w:pict>
      </w:r>
      <w:r>
        <w:drawing>
          <wp:inline distT="0" distB="0" distL="114300" distR="114300">
            <wp:extent cx="4352925" cy="2332355"/>
            <wp:effectExtent l="6350" t="6350" r="22225" b="23495"/>
            <wp:docPr id="1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pPr>
        <w:spacing w:line="600" w:lineRule="exact"/>
        <w:ind w:firstLine="643" w:firstLineChars="200"/>
        <w:outlineLvl w:val="2"/>
        <w:rPr>
          <w:rFonts w:ascii="仿宋" w:hAnsi="仿宋" w:eastAsia="仿宋"/>
          <w:sz w:val="32"/>
          <w:szCs w:val="32"/>
        </w:rPr>
      </w:pPr>
      <w:bookmarkStart w:id="46" w:name="_Toc15377213"/>
      <w:bookmarkStart w:id="47" w:name="_Toc15378460"/>
      <w:bookmarkStart w:id="48" w:name="_Toc15377444"/>
      <w:r>
        <w:rPr>
          <w:rFonts w:hint="eastAsia" w:ascii="仿宋" w:hAnsi="仿宋" w:eastAsia="仿宋"/>
          <w:b/>
          <w:sz w:val="32"/>
          <w:szCs w:val="32"/>
        </w:rPr>
        <w:t>2021年一般公共预算支出决算数为2309.17万元</w:t>
      </w:r>
      <w:r>
        <w:rPr>
          <w:rFonts w:hint="eastAsia" w:ascii="仿宋" w:hAnsi="仿宋" w:eastAsia="仿宋"/>
          <w:sz w:val="32"/>
          <w:szCs w:val="32"/>
        </w:rPr>
        <w:t>，</w:t>
      </w:r>
      <w:r>
        <w:rPr>
          <w:rStyle w:val="17"/>
          <w:rFonts w:hint="eastAsia" w:ascii="仿宋" w:hAnsi="仿宋" w:eastAsia="仿宋"/>
          <w:bCs/>
          <w:sz w:val="32"/>
          <w:szCs w:val="32"/>
        </w:rPr>
        <w:t>完成预算78.18</w:t>
      </w:r>
      <w:r>
        <w:rPr>
          <w:rStyle w:val="17"/>
          <w:rFonts w:ascii="仿宋" w:hAnsi="仿宋" w:eastAsia="仿宋"/>
          <w:bCs/>
          <w:sz w:val="32"/>
          <w:szCs w:val="32"/>
        </w:rPr>
        <w:t>%</w:t>
      </w:r>
      <w:r>
        <w:rPr>
          <w:rStyle w:val="17"/>
          <w:rFonts w:hint="eastAsia" w:ascii="仿宋" w:hAnsi="仿宋" w:eastAsia="仿宋"/>
          <w:bCs/>
          <w:sz w:val="32"/>
          <w:szCs w:val="32"/>
        </w:rPr>
        <w:t>。其中：</w:t>
      </w:r>
      <w:bookmarkEnd w:id="46"/>
      <w:bookmarkEnd w:id="47"/>
      <w:bookmarkEnd w:id="48"/>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1.一般公共服务（类）组织事务（款）其他组织事务支出（项）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支出决算为16.8万元，完成预算96.56</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，决算数小于预算数的主要原因是该项目为蜀道英才工程激励资金，因其中有一人弃权享受该项激励，资金未支付。</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支出决算为1038.77万元，完成预算97.86</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，决算数等于预算数的主要原因是通用办公设备和办公家具采购经费、公务车运行维护费、公务接待费有结转资金。</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社会保障和就业支出（类）人力资源和社会保障管理事务（款）一般行政管理事务（项）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支出决算为162.51万元，完成预算64.96</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，决算数小于预算数的主要原因是职称评审、市直事业单位人员公开选调及招聘、人力资源服务等项目集中在第四季度实施，相关费用跨年度支付。</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社会保障和就业支出（类）人力资源和社会保障管理事务（款）社会保险业务管理事务（项）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支出决算为13.11万元，完成预算68.25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，决算数小于预算数的主要原因是社保基金风险防控和举报奖励、推进全民参保项目年底才实施完，费用跨年度支付。</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社会保障和就业支出（类）人力资源和社会保障管理事务（款）信息化建设（项）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支出决算为267.66万元，完成预算40.26</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，决算数小于预算数的主要原因是“一卡通”阳光审批系统建设、“一卡通”短信服务费项目属于跨年度实施项目，费用在下一年支付。</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6</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社会保障和就业支出（类）人力资源和社会保障管理事务（款）劳动关系和维权（项）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支出决算为22.49万元，完成预算38.61</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，决算数小于预算数的主要原因是劳动保障监督检查相关项目在年底实施，费用跨年度支付。</w:t>
      </w:r>
    </w:p>
    <w:p>
      <w:p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社会保障和就业支出（类）人力资源和社会保障管理事务（款）引进人才费用（项）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决算为34.06万元，完成预算100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pStyle w:val="12"/>
        <w:spacing w:line="576"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社会保障和就业支出（类）人力资源和社会保障管理事务（款）事业运行（项）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决算为233.04万元，完成预算100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pStyle w:val="12"/>
        <w:spacing w:line="576"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9.社会保障和就业支出（类）人力资源和社会保障管理事务（款）其他人力资源和社会保障管理事务支出（项）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决算为145.22万元，完成预算69.60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，决算数小于预算数的原因是三支一扶培训、工伤预防等项目跨年度实施，资金在下一年支付。</w:t>
      </w:r>
    </w:p>
    <w:p>
      <w:pPr>
        <w:pStyle w:val="12"/>
        <w:spacing w:line="576" w:lineRule="exact"/>
        <w:ind w:firstLine="643" w:firstLineChars="200"/>
      </w:pPr>
      <w:r>
        <w:rPr>
          <w:rStyle w:val="17"/>
          <w:rFonts w:hint="eastAsia" w:ascii="仿宋" w:hAnsi="仿宋" w:eastAsia="仿宋"/>
          <w:bCs/>
          <w:color w:val="000000"/>
          <w:sz w:val="32"/>
          <w:szCs w:val="32"/>
        </w:rPr>
        <w:t>10</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社会保障和就业支出（类）行政事业单位养老支出（款）行政单位离退休（项）</w:t>
      </w:r>
      <w:r>
        <w:rPr>
          <w:rStyle w:val="17"/>
          <w:rFonts w:ascii="仿宋" w:hAnsi="仿宋" w:eastAsia="仿宋"/>
          <w:bCs/>
          <w:color w:val="000000"/>
          <w:sz w:val="32"/>
          <w:szCs w:val="32"/>
        </w:rPr>
        <w:t>:</w:t>
      </w:r>
      <w:r>
        <w:rPr>
          <w:rStyle w:val="17"/>
          <w:rFonts w:ascii="仿宋" w:hAnsi="仿宋" w:eastAsia="仿宋"/>
          <w:b w:val="0"/>
          <w:bCs/>
          <w:color w:val="000000"/>
          <w:sz w:val="32"/>
          <w:szCs w:val="32"/>
        </w:rPr>
        <w:t>支出</w:t>
      </w:r>
      <w:r>
        <w:rPr>
          <w:rStyle w:val="17"/>
          <w:rFonts w:hint="eastAsia" w:ascii="仿宋" w:hAnsi="仿宋" w:eastAsia="仿宋"/>
          <w:b w:val="0"/>
          <w:bCs/>
          <w:color w:val="000000"/>
          <w:sz w:val="32"/>
          <w:szCs w:val="32"/>
        </w:rPr>
        <w:t>决算为5.47万元，完成预算100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576"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11</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社会保障和就业支出（类）行政事业单位养老支出（款）机关事业单位基本养老保险缴费支出（项）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决算为93.98万元，完成预算100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576"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12</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社会保障和就业支出（类）行政事业单位养老支出（款）机关事业单位职业年金缴费支出（项）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决算为10.32万元，完成预算100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576"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13</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社会保障和就业支出（类）就业补助（款）其他就业补助支出（项）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决算为23.16万元，完成预算42.98</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，决算数小于预算数的主要原因是就业创业相关项目跨年度实施，资金在下一年度支付。</w:t>
      </w:r>
    </w:p>
    <w:p>
      <w:pPr>
        <w:pStyle w:val="12"/>
        <w:spacing w:line="576" w:lineRule="exact"/>
        <w:ind w:firstLine="643" w:firstLineChars="200"/>
      </w:pPr>
      <w:r>
        <w:rPr>
          <w:rStyle w:val="17"/>
          <w:rFonts w:hint="eastAsia" w:ascii="仿宋" w:hAnsi="仿宋" w:eastAsia="仿宋"/>
          <w:bCs/>
          <w:color w:val="000000"/>
          <w:sz w:val="32"/>
          <w:szCs w:val="32"/>
        </w:rPr>
        <w:t>14</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社会保障和就业支出（类）其他社会保障和就业支出（款）其他社会保障和就业支出（项）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决算为38.43万元，完成预算100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pStyle w:val="12"/>
        <w:spacing w:line="576" w:lineRule="exact"/>
        <w:ind w:firstLine="643" w:firstLineChars="200"/>
      </w:pPr>
      <w:r>
        <w:rPr>
          <w:rStyle w:val="17"/>
          <w:rFonts w:hint="eastAsia" w:ascii="仿宋" w:hAnsi="仿宋" w:eastAsia="仿宋"/>
          <w:bCs/>
          <w:color w:val="000000"/>
          <w:sz w:val="32"/>
          <w:szCs w:val="32"/>
        </w:rPr>
        <w:t>15</w:t>
      </w:r>
      <w:r>
        <w:rPr>
          <w:rStyle w:val="17"/>
          <w:rFonts w:ascii="仿宋" w:hAnsi="仿宋" w:eastAsia="仿宋"/>
          <w:bCs/>
          <w:color w:val="000000"/>
          <w:sz w:val="32"/>
          <w:szCs w:val="32"/>
        </w:rPr>
        <w:t>.</w:t>
      </w:r>
      <w:r>
        <w:rPr>
          <w:rStyle w:val="28"/>
          <w:rFonts w:hint="eastAsia" w:ascii="仿宋" w:hAnsi="仿宋" w:eastAsia="仿宋"/>
          <w:bCs w:val="0"/>
          <w:color w:val="000000"/>
          <w:sz w:val="32"/>
          <w:szCs w:val="32"/>
        </w:rPr>
        <w:t xml:space="preserve"> </w:t>
      </w:r>
      <w:r>
        <w:rPr>
          <w:rStyle w:val="17"/>
          <w:rFonts w:hint="eastAsia" w:ascii="仿宋" w:hAnsi="仿宋" w:eastAsia="仿宋"/>
          <w:bCs/>
          <w:color w:val="000000"/>
          <w:sz w:val="32"/>
          <w:szCs w:val="32"/>
        </w:rPr>
        <w:t>社会保障和就业支出（类）抚恤（款）死亡抚恤（项）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支出</w:t>
      </w:r>
      <w:r>
        <w:rPr>
          <w:rStyle w:val="17"/>
          <w:rFonts w:hint="eastAsia" w:ascii="仿宋" w:hAnsi="仿宋" w:eastAsia="仿宋"/>
          <w:b w:val="0"/>
          <w:bCs/>
          <w:color w:val="000000"/>
          <w:sz w:val="32"/>
          <w:szCs w:val="32"/>
        </w:rPr>
        <w:t>决算为41.15万元，完成预算100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pStyle w:val="12"/>
        <w:spacing w:line="576" w:lineRule="exact"/>
        <w:ind w:firstLine="643" w:firstLineChars="200"/>
      </w:pPr>
      <w:r>
        <w:rPr>
          <w:rStyle w:val="17"/>
          <w:rFonts w:hint="eastAsia" w:ascii="仿宋" w:hAnsi="仿宋" w:eastAsia="仿宋"/>
          <w:bCs/>
          <w:color w:val="000000"/>
          <w:sz w:val="32"/>
          <w:szCs w:val="32"/>
        </w:rPr>
        <w:t>16</w:t>
      </w:r>
      <w:r>
        <w:rPr>
          <w:rStyle w:val="17"/>
          <w:rFonts w:ascii="仿宋" w:hAnsi="仿宋" w:eastAsia="仿宋"/>
          <w:bCs/>
          <w:color w:val="000000"/>
          <w:sz w:val="32"/>
          <w:szCs w:val="32"/>
        </w:rPr>
        <w:t>.</w:t>
      </w:r>
      <w:r>
        <w:rPr>
          <w:rFonts w:hint="eastAsia" w:ascii="仿宋" w:hAnsi="仿宋" w:eastAsia="仿宋"/>
          <w:b/>
          <w:bCs/>
          <w:color w:val="000000"/>
          <w:sz w:val="32"/>
          <w:szCs w:val="32"/>
        </w:rPr>
        <w:t>卫生健康</w:t>
      </w:r>
      <w:r>
        <w:rPr>
          <w:rStyle w:val="17"/>
          <w:rFonts w:hint="eastAsia" w:ascii="仿宋" w:hAnsi="仿宋" w:eastAsia="仿宋"/>
          <w:bCs/>
          <w:color w:val="000000"/>
          <w:sz w:val="32"/>
          <w:szCs w:val="32"/>
        </w:rPr>
        <w:t>（类）行政事业单位</w:t>
      </w:r>
      <w:r>
        <w:rPr>
          <w:rStyle w:val="17"/>
          <w:rFonts w:ascii="仿宋" w:hAnsi="仿宋" w:eastAsia="仿宋"/>
          <w:bCs/>
          <w:color w:val="000000"/>
          <w:sz w:val="32"/>
          <w:szCs w:val="32"/>
        </w:rPr>
        <w:t>医疗</w:t>
      </w:r>
      <w:r>
        <w:rPr>
          <w:rStyle w:val="17"/>
          <w:rFonts w:hint="eastAsia" w:ascii="仿宋" w:hAnsi="仿宋" w:eastAsia="仿宋"/>
          <w:bCs/>
          <w:color w:val="000000"/>
          <w:sz w:val="32"/>
          <w:szCs w:val="32"/>
        </w:rPr>
        <w:t>（款）行政单位</w:t>
      </w:r>
      <w:r>
        <w:rPr>
          <w:rStyle w:val="17"/>
          <w:rFonts w:ascii="仿宋" w:hAnsi="仿宋" w:eastAsia="仿宋"/>
          <w:bCs/>
          <w:color w:val="000000"/>
          <w:sz w:val="32"/>
          <w:szCs w:val="32"/>
        </w:rPr>
        <w:t>医疗</w:t>
      </w:r>
      <w:r>
        <w:rPr>
          <w:rStyle w:val="17"/>
          <w:rFonts w:hint="eastAsia" w:ascii="仿宋" w:hAnsi="仿宋" w:eastAsia="仿宋"/>
          <w:bCs/>
          <w:color w:val="000000"/>
          <w:sz w:val="32"/>
          <w:szCs w:val="32"/>
        </w:rPr>
        <w:t>（项）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支出决算为48.16万元，完成预算100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sz w:val="32"/>
          <w:szCs w:val="32"/>
        </w:rPr>
      </w:pPr>
      <w:r>
        <w:rPr>
          <w:rStyle w:val="17"/>
          <w:rFonts w:hint="eastAsia" w:ascii="仿宋" w:hAnsi="仿宋" w:eastAsia="仿宋"/>
          <w:bCs/>
          <w:color w:val="000000"/>
          <w:sz w:val="32"/>
          <w:szCs w:val="32"/>
        </w:rPr>
        <w:t>17</w:t>
      </w:r>
      <w:r>
        <w:rPr>
          <w:rStyle w:val="17"/>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7"/>
          <w:rFonts w:hint="eastAsia" w:ascii="仿宋" w:hAnsi="仿宋" w:eastAsia="仿宋"/>
          <w:bCs/>
          <w:color w:val="000000"/>
          <w:sz w:val="32"/>
          <w:szCs w:val="32"/>
        </w:rPr>
        <w:t>（类）住房改革支出（款）住房公积金（项）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支出决算为114.82万元，完成预算100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600" w:lineRule="exact"/>
        <w:ind w:firstLine="640"/>
        <w:outlineLvl w:val="1"/>
        <w:rPr>
          <w:rStyle w:val="29"/>
        </w:rPr>
      </w:pPr>
      <w:bookmarkStart w:id="49" w:name="_Toc15396608"/>
      <w:bookmarkStart w:id="50" w:name="_Toc15377214"/>
      <w:bookmarkStart w:id="51" w:name="_Toc274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9"/>
      <w:bookmarkEnd w:id="50"/>
      <w:bookmarkEnd w:id="51"/>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21年一般公共预算财政拨款基本支出1624.16万元，其中：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1366.62万元，主要包括：基本工资、津贴补贴、奖金、绩效工资、机关事业单位基本养老保险缴费、职业年金缴费、职工基本医疗保险缴费、其他社会保障缴费、其他工资福利支出、抚恤金、生活补助、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公用经费257.54万元，主要包括：办公费、印刷费、咨询费、水费、邮电费、物业管理费、差旅费、维修（护）费、租赁费、会议费、培训费、公务接待费、</w:t>
      </w:r>
      <w:r>
        <w:rPr>
          <w:rFonts w:hint="eastAsia" w:ascii="仿宋" w:hAnsi="仿宋" w:eastAsia="仿宋"/>
          <w:sz w:val="32"/>
          <w:szCs w:val="32"/>
          <w:lang w:val="en-US" w:eastAsia="zh-CN"/>
        </w:rPr>
        <w:t>专用材料费、</w:t>
      </w:r>
      <w:r>
        <w:rPr>
          <w:rFonts w:hint="eastAsia" w:ascii="仿宋" w:hAnsi="仿宋" w:eastAsia="仿宋"/>
          <w:sz w:val="32"/>
          <w:szCs w:val="32"/>
        </w:rPr>
        <w:t>劳务费、委托业务费、工会经费、福利费、公务用车运行维护费、其他交通费、其他商品和服务支出等。</w:t>
      </w:r>
    </w:p>
    <w:p>
      <w:pPr>
        <w:spacing w:line="600" w:lineRule="exact"/>
        <w:ind w:firstLine="640"/>
        <w:outlineLvl w:val="1"/>
        <w:rPr>
          <w:rStyle w:val="29"/>
          <w:rFonts w:ascii="黑体" w:hAnsi="黑体" w:eastAsia="黑体"/>
          <w:b w:val="0"/>
        </w:rPr>
      </w:pPr>
      <w:bookmarkStart w:id="52" w:name="_Toc15396609"/>
      <w:bookmarkStart w:id="53" w:name="_Toc15377215"/>
      <w:bookmarkStart w:id="54" w:name="_Toc402"/>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2"/>
      <w:bookmarkEnd w:id="53"/>
      <w:bookmarkEnd w:id="54"/>
    </w:p>
    <w:p>
      <w:pPr>
        <w:spacing w:line="600" w:lineRule="exact"/>
        <w:ind w:firstLine="640"/>
        <w:outlineLvl w:val="2"/>
        <w:rPr>
          <w:rFonts w:ascii="仿宋" w:hAnsi="仿宋" w:eastAsia="仿宋"/>
          <w:b/>
          <w:sz w:val="32"/>
          <w:szCs w:val="32"/>
        </w:rPr>
      </w:pPr>
      <w:bookmarkStart w:id="55" w:name="_Toc15377216"/>
      <w:r>
        <w:rPr>
          <w:rFonts w:hint="eastAsia" w:ascii="仿宋" w:hAnsi="仿宋" w:eastAsia="仿宋"/>
          <w:b/>
          <w:sz w:val="32"/>
          <w:szCs w:val="32"/>
        </w:rPr>
        <w:t>（一）“三公”经费财政拨款支出决算总体情况说明</w:t>
      </w:r>
      <w:bookmarkEnd w:id="55"/>
    </w:p>
    <w:p>
      <w:pPr>
        <w:spacing w:line="600" w:lineRule="exact"/>
        <w:ind w:firstLine="640"/>
        <w:rPr>
          <w:rFonts w:ascii="仿宋" w:hAnsi="仿宋" w:eastAsia="仿宋"/>
          <w:b/>
          <w:color w:val="00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21年“三公”经费财政拨款支出决算为9.79万元，完成预算88.20</w:t>
      </w:r>
      <w:r>
        <w:rPr>
          <w:rFonts w:ascii="仿宋" w:hAnsi="仿宋" w:eastAsia="仿宋"/>
          <w:sz w:val="32"/>
          <w:szCs w:val="32"/>
        </w:rPr>
        <w:t>%</w:t>
      </w:r>
      <w:r>
        <w:rPr>
          <w:rFonts w:hint="eastAsia" w:ascii="仿宋" w:hAnsi="仿宋" w:eastAsia="仿宋"/>
          <w:sz w:val="32"/>
          <w:szCs w:val="32"/>
        </w:rPr>
        <w:t>，决算数小于预算数的主要原因</w:t>
      </w:r>
      <w:r>
        <w:rPr>
          <w:rFonts w:hint="eastAsia" w:ascii="仿宋" w:hAnsi="仿宋" w:eastAsia="仿宋"/>
          <w:color w:val="000000"/>
          <w:sz w:val="32"/>
          <w:szCs w:val="32"/>
        </w:rPr>
        <w:t>是</w:t>
      </w:r>
      <w:r>
        <w:rPr>
          <w:rFonts w:hint="eastAsia" w:ascii="仿宋_GB2312" w:eastAsia="仿宋_GB2312"/>
          <w:sz w:val="32"/>
          <w:szCs w:val="32"/>
        </w:rPr>
        <w:t>继续落实转变作风、厉行节约、过紧日子“十三条措施”有关要求，严格控制接待标准，压缩接待规模，通过继续加强公务用车日常管理，降低车辆各类消耗所致。</w:t>
      </w:r>
    </w:p>
    <w:p>
      <w:pPr>
        <w:spacing w:line="600" w:lineRule="exact"/>
        <w:ind w:firstLine="640"/>
        <w:outlineLvl w:val="2"/>
        <w:rPr>
          <w:rFonts w:ascii="仿宋" w:hAnsi="仿宋" w:eastAsia="仿宋"/>
          <w:b/>
          <w:sz w:val="32"/>
          <w:szCs w:val="32"/>
        </w:rPr>
      </w:pPr>
      <w:bookmarkStart w:id="56" w:name="_Toc15377217"/>
      <w:r>
        <w:rPr>
          <w:rFonts w:hint="eastAsia" w:ascii="仿宋" w:hAnsi="仿宋" w:eastAsia="仿宋"/>
          <w:b/>
          <w:sz w:val="32"/>
          <w:szCs w:val="32"/>
        </w:rPr>
        <w:t>（二）“三公”经费财政拨款支出决算具体情况说明</w:t>
      </w:r>
      <w:bookmarkEnd w:id="5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21年“三公”经费财政拨款支出决算中，因公出国（境）费支出决算0万元，未安排此项预算；公务用车购置及运行维护费支出决算5.79万元，占59.14</w:t>
      </w:r>
      <w:r>
        <w:rPr>
          <w:rFonts w:ascii="仿宋" w:hAnsi="仿宋" w:eastAsia="仿宋"/>
          <w:sz w:val="32"/>
          <w:szCs w:val="32"/>
        </w:rPr>
        <w:t>%</w:t>
      </w:r>
      <w:r>
        <w:rPr>
          <w:rFonts w:hint="eastAsia" w:ascii="仿宋" w:hAnsi="仿宋" w:eastAsia="仿宋"/>
          <w:sz w:val="32"/>
          <w:szCs w:val="32"/>
        </w:rPr>
        <w:t>；公务接待费支出决算4万元，占40.86</w:t>
      </w:r>
      <w:r>
        <w:rPr>
          <w:rFonts w:ascii="仿宋" w:hAnsi="仿宋" w:eastAsia="仿宋"/>
          <w:sz w:val="32"/>
          <w:szCs w:val="32"/>
        </w:rPr>
        <w:t>%</w:t>
      </w:r>
      <w:r>
        <w:rPr>
          <w:rFonts w:hint="eastAsia" w:ascii="仿宋" w:hAnsi="仿宋" w:eastAsia="仿宋"/>
          <w:sz w:val="32"/>
          <w:szCs w:val="32"/>
        </w:rPr>
        <w:t>。具体情况如下：</w:t>
      </w:r>
    </w:p>
    <w:p>
      <w:pPr>
        <w:pStyle w:val="5"/>
        <w:spacing w:before="93"/>
        <w:jc w:val="center"/>
        <w:rPr>
          <w:rFonts w:ascii="仿宋" w:hAnsi="仿宋" w:eastAsia="仿宋"/>
          <w:sz w:val="32"/>
          <w:szCs w:val="32"/>
        </w:rPr>
      </w:pPr>
      <w:r>
        <w:drawing>
          <wp:inline distT="0" distB="0" distL="114300" distR="114300">
            <wp:extent cx="3477895" cy="2016760"/>
            <wp:effectExtent l="5080" t="4445" r="22225" b="1714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0万元，未安排此项预算</w:t>
      </w:r>
      <w:r>
        <w:rPr>
          <w:rStyle w:val="17"/>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5.79万元,</w:t>
      </w:r>
      <w:r>
        <w:rPr>
          <w:rStyle w:val="17"/>
          <w:rFonts w:hint="eastAsia" w:ascii="仿宋" w:hAnsi="仿宋" w:eastAsia="仿宋"/>
          <w:b w:val="0"/>
          <w:bCs/>
          <w:sz w:val="32"/>
          <w:szCs w:val="32"/>
        </w:rPr>
        <w:t>完成预算81.55</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20年增加1.46万元，增长33.72</w:t>
      </w:r>
      <w:r>
        <w:rPr>
          <w:rFonts w:ascii="仿宋_GB2312" w:eastAsia="仿宋_GB2312"/>
          <w:sz w:val="32"/>
          <w:szCs w:val="32"/>
        </w:rPr>
        <w:t>%</w:t>
      </w:r>
      <w:r>
        <w:rPr>
          <w:rFonts w:hint="eastAsia" w:ascii="仿宋_GB2312" w:eastAsia="仿宋_GB2312"/>
          <w:sz w:val="32"/>
          <w:szCs w:val="32"/>
        </w:rPr>
        <w:t>。主要原因是2021年进行了公务车维修，增加了维修费用。</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0万元。全年未更新购置公务用车。</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7.62万元。</w:t>
      </w:r>
      <w:r>
        <w:rPr>
          <w:rFonts w:hint="eastAsia" w:ascii="仿宋" w:hAnsi="仿宋" w:eastAsia="仿宋"/>
          <w:color w:val="000000"/>
          <w:sz w:val="32"/>
          <w:szCs w:val="32"/>
        </w:rPr>
        <w:t>主要用于</w:t>
      </w:r>
      <w:r>
        <w:rPr>
          <w:rFonts w:hint="eastAsia" w:ascii="仿宋_GB2312" w:eastAsia="仿宋_GB2312"/>
          <w:sz w:val="32"/>
          <w:szCs w:val="32"/>
        </w:rPr>
        <w:t>促进就业创业、人才队伍建设、人事制度改革、高层次人才引进、劳动关系维权、工伤调查认定、公共服务体系建设</w:t>
      </w:r>
      <w:r>
        <w:rPr>
          <w:rFonts w:hint="eastAsia" w:ascii="仿宋" w:hAnsi="仿宋" w:eastAsia="仿宋"/>
          <w:color w:val="000000"/>
          <w:sz w:val="32"/>
          <w:szCs w:val="32"/>
        </w:rPr>
        <w:t>等所需的公务用车燃料费、维修费、过路过桥费、保险费等支出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4万元，</w:t>
      </w:r>
      <w:r>
        <w:rPr>
          <w:rStyle w:val="17"/>
          <w:rFonts w:hint="eastAsia" w:ascii="仿宋" w:hAnsi="仿宋" w:eastAsia="仿宋"/>
          <w:b w:val="0"/>
          <w:bCs/>
          <w:sz w:val="32"/>
          <w:szCs w:val="32"/>
        </w:rPr>
        <w:t>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20年增加0.66万元，增长19.76</w:t>
      </w:r>
      <w:r>
        <w:rPr>
          <w:rFonts w:ascii="仿宋_GB2312" w:eastAsia="仿宋_GB2312"/>
          <w:sz w:val="32"/>
          <w:szCs w:val="32"/>
        </w:rPr>
        <w:t>%</w:t>
      </w:r>
      <w:r>
        <w:rPr>
          <w:rFonts w:hint="eastAsia" w:ascii="仿宋_GB2312" w:eastAsia="仿宋_GB2312"/>
          <w:sz w:val="32"/>
          <w:szCs w:val="32"/>
        </w:rPr>
        <w:t>。主要原因是接待批次较2020年有所增加。其中：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4</w:t>
      </w:r>
      <w:r>
        <w:rPr>
          <w:rFonts w:hint="eastAsia" w:ascii="仿宋_GB2312" w:eastAsia="仿宋_GB2312"/>
          <w:sz w:val="32"/>
          <w:szCs w:val="32"/>
        </w:rPr>
        <w:t>万元，主要用于开展就业创业、完善社会保障体系、人才队伍建设、人事制度改革、构建和谐劳动关系、公共服务体系建设等重点工作以及有关单位来广调研、指导、督查督办、学习交流开支的交通费、住宿费、用餐费等)。国内公务接待25批次，194人次（不包括陪同人员），共计支出4万元，具体内容包括：上级督导、检查、调研公务接待2.47万元，市州交流、考察、学习公务接待0.85万元，跨省东西部协作公务接待0.68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万元，年度内未发生外事接待支出。</w:t>
      </w:r>
      <w:bookmarkStart w:id="57" w:name="_Toc15396610"/>
      <w:bookmarkStart w:id="58" w:name="_Toc15377218"/>
    </w:p>
    <w:p>
      <w:pPr>
        <w:spacing w:line="600" w:lineRule="exact"/>
        <w:ind w:firstLine="640"/>
        <w:outlineLvl w:val="1"/>
        <w:rPr>
          <w:rStyle w:val="29"/>
          <w:rFonts w:ascii="黑体" w:hAnsi="黑体" w:eastAsia="黑体"/>
        </w:rPr>
      </w:pPr>
      <w:bookmarkStart w:id="59" w:name="_Toc18282"/>
      <w:r>
        <w:rPr>
          <w:rFonts w:hint="eastAsia" w:ascii="黑体" w:eastAsia="黑体"/>
          <w:sz w:val="32"/>
          <w:szCs w:val="32"/>
        </w:rPr>
        <w:t>八、</w:t>
      </w:r>
      <w:r>
        <w:rPr>
          <w:rStyle w:val="29"/>
          <w:rFonts w:hint="eastAsia" w:ascii="黑体" w:hAnsi="黑体" w:eastAsia="黑体"/>
          <w:b w:val="0"/>
        </w:rPr>
        <w:t>政府性基金预算支出决算情况说明</w:t>
      </w:r>
      <w:bookmarkEnd w:id="57"/>
      <w:bookmarkEnd w:id="58"/>
      <w:bookmarkEnd w:id="5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21年政府性基金预算财政拨款支出0万元，未安排政府性基金预算，也</w:t>
      </w:r>
      <w:r>
        <w:rPr>
          <w:rFonts w:hint="eastAsia" w:ascii="仿宋" w:hAnsi="仿宋" w:eastAsia="仿宋"/>
          <w:color w:val="000000"/>
          <w:sz w:val="32"/>
          <w:szCs w:val="32"/>
        </w:rPr>
        <w:t>未在政府性基金预算拨款安排“三公经费”支出。</w:t>
      </w:r>
    </w:p>
    <w:p>
      <w:pPr>
        <w:numPr>
          <w:ilvl w:val="0"/>
          <w:numId w:val="3"/>
        </w:numPr>
        <w:spacing w:line="600" w:lineRule="exact"/>
        <w:ind w:firstLine="640"/>
        <w:outlineLvl w:val="1"/>
        <w:rPr>
          <w:rStyle w:val="29"/>
          <w:rFonts w:ascii="黑体" w:hAnsi="黑体" w:eastAsia="黑体"/>
          <w:b w:val="0"/>
        </w:rPr>
      </w:pPr>
      <w:bookmarkStart w:id="60" w:name="_Toc15396611"/>
      <w:bookmarkStart w:id="61" w:name="_Toc28283"/>
      <w:bookmarkStart w:id="62" w:name="_Toc15377219"/>
      <w:r>
        <w:rPr>
          <w:rStyle w:val="29"/>
          <w:rFonts w:hint="eastAsia" w:ascii="黑体" w:hAnsi="黑体" w:eastAsia="黑体"/>
          <w:b w:val="0"/>
        </w:rPr>
        <w:t>国有资本经营预算支出决算情况说明</w:t>
      </w:r>
      <w:bookmarkEnd w:id="60"/>
      <w:bookmarkEnd w:id="61"/>
      <w:bookmarkEnd w:id="62"/>
    </w:p>
    <w:p>
      <w:pPr>
        <w:spacing w:line="600" w:lineRule="exact"/>
        <w:ind w:firstLine="640" w:firstLineChars="200"/>
        <w:outlineLvl w:val="1"/>
        <w:rPr>
          <w:rStyle w:val="29"/>
          <w:rFonts w:ascii="黑体" w:hAnsi="黑体" w:eastAsia="黑体"/>
          <w:b w:val="0"/>
        </w:rPr>
      </w:pPr>
      <w:bookmarkStart w:id="63" w:name="_Toc4463"/>
      <w:bookmarkStart w:id="64" w:name="_Toc15377221"/>
      <w:bookmarkStart w:id="65" w:name="_Toc15396612"/>
      <w:r>
        <w:rPr>
          <w:rFonts w:ascii="仿宋_GB2312" w:eastAsia="仿宋_GB2312"/>
          <w:sz w:val="32"/>
          <w:szCs w:val="32"/>
        </w:rPr>
        <w:t>20</w:t>
      </w:r>
      <w:r>
        <w:rPr>
          <w:rFonts w:hint="eastAsia" w:ascii="仿宋_GB2312" w:eastAsia="仿宋_GB2312"/>
          <w:sz w:val="32"/>
          <w:szCs w:val="32"/>
        </w:rPr>
        <w:t>21年国有资本经营预算财政拨款支出0万元，未安排国有资本经营预算。</w:t>
      </w:r>
      <w:bookmarkEnd w:id="63"/>
    </w:p>
    <w:p>
      <w:pPr>
        <w:numPr>
          <w:ilvl w:val="0"/>
          <w:numId w:val="3"/>
        </w:numPr>
        <w:spacing w:line="600" w:lineRule="exact"/>
        <w:ind w:firstLine="640"/>
        <w:outlineLvl w:val="1"/>
        <w:rPr>
          <w:rStyle w:val="29"/>
          <w:rFonts w:ascii="黑体" w:hAnsi="黑体" w:eastAsia="黑体"/>
          <w:b w:val="0"/>
        </w:rPr>
      </w:pPr>
      <w:bookmarkStart w:id="66" w:name="_Toc6728"/>
      <w:r>
        <w:rPr>
          <w:rStyle w:val="29"/>
          <w:rFonts w:hint="eastAsia" w:ascii="黑体" w:hAnsi="黑体" w:eastAsia="黑体"/>
          <w:b w:val="0"/>
        </w:rPr>
        <w:t>预算绩效管理情况</w:t>
      </w:r>
      <w:bookmarkEnd w:id="6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一卡通”阳光审批系统建设项目开展了事前绩效评估，对31个项目编制了绩效目标，预算执行过程中，对31个项目开展绩效监控，年终执行完毕后，对31个项目开展了绩效自评，2021年部门预算项目绩效目标自评表（选5个项目公开）见附件（第四部分）。</w:t>
      </w:r>
    </w:p>
    <w:p>
      <w:pPr>
        <w:numPr>
          <w:ilvl w:val="0"/>
          <w:numId w:val="3"/>
        </w:numPr>
        <w:spacing w:line="600" w:lineRule="exact"/>
        <w:ind w:firstLine="640"/>
        <w:outlineLvl w:val="1"/>
        <w:rPr>
          <w:rStyle w:val="29"/>
          <w:rFonts w:ascii="黑体" w:hAnsi="黑体" w:eastAsia="黑体"/>
          <w:b w:val="0"/>
        </w:rPr>
      </w:pPr>
      <w:bookmarkStart w:id="67" w:name="_Toc15373"/>
      <w:r>
        <w:rPr>
          <w:rStyle w:val="29"/>
          <w:rFonts w:hint="eastAsia" w:ascii="黑体" w:hAnsi="黑体" w:eastAsia="黑体"/>
          <w:b w:val="0"/>
        </w:rPr>
        <w:t>其他重要事项的情况说明</w:t>
      </w:r>
      <w:bookmarkEnd w:id="64"/>
      <w:bookmarkEnd w:id="65"/>
      <w:bookmarkEnd w:id="67"/>
    </w:p>
    <w:p>
      <w:pPr>
        <w:spacing w:line="6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21年，广元市人力资源和社会保障局机关运行经费支出257.54万元，比</w:t>
      </w:r>
      <w:r>
        <w:rPr>
          <w:rFonts w:ascii="仿宋_GB2312" w:eastAsia="仿宋_GB2312"/>
          <w:sz w:val="32"/>
          <w:szCs w:val="32"/>
        </w:rPr>
        <w:t>20</w:t>
      </w:r>
      <w:r>
        <w:rPr>
          <w:rFonts w:hint="eastAsia" w:ascii="仿宋_GB2312" w:eastAsia="仿宋_GB2312"/>
          <w:sz w:val="32"/>
          <w:szCs w:val="32"/>
        </w:rPr>
        <w:t>20年增加20.52万元，增长8.66</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eastAsia="zh-CN"/>
        </w:rPr>
        <w:t>：</w:t>
      </w:r>
      <w:r>
        <w:rPr>
          <w:rFonts w:hint="eastAsia" w:ascii="仿宋_GB2312" w:eastAsia="仿宋_GB2312"/>
          <w:sz w:val="32"/>
          <w:szCs w:val="32"/>
        </w:rPr>
        <w:t>一是2021年人员增加；二是2021年受疫情因素影响程度较2020年有所缓解，业务活动开展次数比2020年增多，相应的运行经费有所增加。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广元市人力资源和社会保障局机关政府采购支出总额63.11万元，其中：政府采购货物支出63.11万元、政府采购工程支出0万元、政府采购服务支出0万元。主要用于办公设备设施，“一卡通”阳光审批系统建设、信息中心机房UPS电源、精密空调等设施设备的采购。授予中小企业合同金额63.11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pPr>
        <w:autoSpaceDE w:val="0"/>
        <w:autoSpaceDN w:val="0"/>
        <w:adjustRightInd w:val="0"/>
        <w:spacing w:line="600" w:lineRule="exact"/>
        <w:ind w:firstLine="640" w:firstLineChars="200"/>
        <w:jc w:val="left"/>
        <w:rPr>
          <w:highlight w:val="yellow"/>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日，广元市人力资源和社会保障局机关共有车辆1辆，为其他用车。主要用于</w:t>
      </w:r>
      <w:r>
        <w:rPr>
          <w:rFonts w:hint="eastAsia" w:ascii="仿宋" w:hAnsi="仿宋" w:eastAsia="仿宋"/>
          <w:color w:val="000000"/>
          <w:sz w:val="32"/>
          <w:szCs w:val="32"/>
        </w:rPr>
        <w:t>日常工作开展；单价</w:t>
      </w:r>
      <w:r>
        <w:rPr>
          <w:rFonts w:ascii="仿宋" w:hAnsi="仿宋" w:eastAsia="仿宋"/>
          <w:color w:val="000000"/>
          <w:sz w:val="32"/>
          <w:szCs w:val="32"/>
        </w:rPr>
        <w:t>50</w:t>
      </w:r>
      <w:r>
        <w:rPr>
          <w:rFonts w:hint="eastAsia" w:ascii="仿宋" w:hAnsi="仿宋" w:eastAsia="仿宋"/>
          <w:color w:val="000000"/>
          <w:sz w:val="32"/>
          <w:szCs w:val="32"/>
        </w:rPr>
        <w:t>万元以上通用设备6台（套），单价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71" w:name="_Toc21546"/>
      <w:bookmarkStart w:id="72" w:name="_Toc15396613"/>
      <w:bookmarkStart w:id="73" w:name="_Toc15377225"/>
      <w:bookmarkStart w:id="74" w:name="_Toc11647"/>
      <w:r>
        <w:rPr>
          <w:rFonts w:hint="eastAsia" w:ascii="黑体" w:hAnsi="黑体" w:eastAsia="黑体"/>
          <w:sz w:val="44"/>
          <w:szCs w:val="44"/>
        </w:rPr>
        <w:t>名</w:t>
      </w:r>
      <w:r>
        <w:rPr>
          <w:rStyle w:val="28"/>
          <w:rFonts w:hint="eastAsia" w:ascii="黑体" w:hAnsi="黑体" w:eastAsia="黑体"/>
          <w:b w:val="0"/>
        </w:rPr>
        <w:t>词解释</w:t>
      </w:r>
      <w:bookmarkEnd w:id="71"/>
      <w:bookmarkEnd w:id="72"/>
      <w:bookmarkEnd w:id="73"/>
      <w:bookmarkEnd w:id="74"/>
    </w:p>
    <w:p>
      <w:pPr>
        <w:spacing w:line="600" w:lineRule="exact"/>
        <w:jc w:val="left"/>
        <w:rPr>
          <w:rFonts w:ascii="宋体"/>
          <w:b/>
          <w:sz w:val="44"/>
          <w:szCs w:val="44"/>
        </w:rPr>
      </w:pPr>
    </w:p>
    <w:p>
      <w:pPr>
        <w:pStyle w:val="26"/>
        <w:spacing w:line="560" w:lineRule="exact"/>
        <w:ind w:firstLine="640" w:firstLineChars="200"/>
        <w:outlineLvl w:val="1"/>
        <w:rPr>
          <w:rFonts w:ascii="仿宋_GB2312" w:eastAsia="仿宋_GB2312"/>
          <w:sz w:val="32"/>
          <w:szCs w:val="32"/>
        </w:rPr>
      </w:pPr>
      <w:bookmarkStart w:id="75" w:name="_Toc29138"/>
      <w:bookmarkStart w:id="76" w:name="_Toc13822"/>
      <w:r>
        <w:rPr>
          <w:rFonts w:ascii="仿宋_GB2312" w:eastAsia="仿宋_GB2312"/>
          <w:sz w:val="32"/>
          <w:szCs w:val="32"/>
        </w:rPr>
        <w:t>1.</w:t>
      </w:r>
      <w:r>
        <w:rPr>
          <w:rFonts w:hint="eastAsia" w:ascii="仿宋_GB2312" w:eastAsia="仿宋_GB2312"/>
          <w:sz w:val="32"/>
          <w:szCs w:val="32"/>
        </w:rPr>
        <w:t>财政拨款收入：反映单位从同级财政部门取得的财政预算资金。</w:t>
      </w:r>
      <w:bookmarkEnd w:id="75"/>
      <w:bookmarkEnd w:id="76"/>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年初结转和结余：反映以前年度尚未完成、结转到本年按有关规定继续使用的资金。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.年末结转和结余：反映单位按有关规定结转到下年或以后年度继续使用的资金。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一般公共服务（类）组织事务（款）其他组织事务支出（项）：反映除上述项目以外其他用于中国共产党组织部门的事务支出。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 xml:space="preserve"> 社会保障和就业支出（类）人力资源和社会保障管理事务（款）行政运行（项）：反映行政单位（包括实行公务员管理的事业单位）的基本支出。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 xml:space="preserve"> 社会保障和就业支出（类）人力资源和社会保障管理事务（款）一般行政管理事务（项）：反映行政单位（包括实行公务员管理的事业单位）未单独设置顶级科目其他项目支出。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 社会保障和就业支出（类）人力资源和社会保障管理事务（款）社会保险业务管理事务（项）：反映社会保险业务管理和基金监督方面的支出。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社会保障和就业支出（类）人力资源和社会保障管理事务（款）信息化建设（项）：反映人力资源和社会保障部门用于信息化建设、运行维护和数据分析等方面的支出，如：金保工程、社会保障卡建设和运行维护、人力资源市场信息化等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 社会保障和就业支出（类）人力资源和社会保障管理事务（款）劳动关系维和（项）：反映劳动关系和维权事务支出。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.社会保障和就业支出（类）人力资源和社会保障管理事务（款）引进人才费用（项）：反映用于引进外国专家补助、引智成果推广等方面的支出。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.社会保障和就业支出（类）人力资源和社会保障管理事务（款）事业运行（项）：反映事业单位的基本支出，不包括行政单位（包括实行公务员管理的事业单位）后勤服务中心、医务室等附属事业单位。</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 社会保障和就业支出（类）人力资源和社会保障管理事务（款）其他人力资源和社会保障管理事务支出（项）：反映除上述项目以外其他人力资源和社会保障管理事务方面的支出。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 社会保障和就业支出（类）行政事业单位离退休（款）行政单位离退休（项）：反映行政单位的行政单位（包括实行公务员管理的事业单位）开支的离退休支出。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 社会保障和就业支出（类）行政事业单位离退休（款）机关事业单位基本养老保险缴费支出（项）：反映机关事业单位实施养老保险制度有单位缴纳的基本养老保险费支出。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 社会保障和就业支出（类）行政事业单位离退休（款）机关事业单位职业年金缴费支出（项）：反映机关事业单位实施养老保险制度由单位实际缴纳的职业年金支出。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 社会保障和就业支出（类）就业补助（款）其他就业补助支出（项）：反映除上述项目以外按规定确定的其他用于促进就业的补助支出。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 社会保障和就业支出（类）抚恤（款）死亡抚恤（项）：反映按规定用于烈士和牺牲、病故人员家属的一次性和定期抚恤金以及丧葬补助费。</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.社会保障和就业支出（类）其他社会保障和就业支出（款）其他社会保障和就业支出（项）：反映上述项目以外其他用于社会保障和就业方面的支出。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0</w:t>
      </w:r>
      <w:r>
        <w:rPr>
          <w:rFonts w:hint="eastAsia" w:ascii="仿宋_GB2312" w:eastAsia="仿宋_GB2312"/>
          <w:sz w:val="32"/>
          <w:szCs w:val="32"/>
        </w:rPr>
        <w:t>. 医疗卫生与计划生育支出（类）行政事业单位医疗（款）行政单位医疗（项）：反映财政部门集中安排的行政单位基本医疗保险缴费经费、未参加医疗保险的行政单位公费医疗经费，按国家规定享受离退休人员、红军老战士待遇人员的医疗经费。</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 住房保障支出（类）住房改革支出（款）住房公积金（项）：反映行政事业单位按人力资源和社会保障部、财政部规定的基本工资和津贴补贴以及规定比例为职工缴纳的住房公积金。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bookmarkStart w:id="77" w:name="_Toc15377226"/>
      <w:r>
        <w:rPr>
          <w:rFonts w:ascii="宋体"/>
          <w:b/>
          <w:sz w:val="44"/>
          <w:szCs w:val="44"/>
        </w:rPr>
        <w:br w:type="page"/>
      </w:r>
      <w:bookmarkStart w:id="78" w:name="_Toc5166"/>
      <w:bookmarkStart w:id="79" w:name="_Toc17425"/>
      <w:bookmarkStart w:id="80" w:name="_Toc15396614"/>
      <w:r>
        <w:rPr>
          <w:rFonts w:hint="eastAsia" w:ascii="黑体" w:hAnsi="黑体" w:eastAsia="黑体"/>
          <w:sz w:val="44"/>
          <w:szCs w:val="44"/>
        </w:rPr>
        <w:t>第</w:t>
      </w:r>
      <w:r>
        <w:rPr>
          <w:rStyle w:val="28"/>
          <w:rFonts w:hint="eastAsia" w:ascii="黑体" w:hAnsi="黑体" w:eastAsia="黑体"/>
          <w:b w:val="0"/>
        </w:rPr>
        <w:t>四部分 附件</w:t>
      </w:r>
      <w:bookmarkEnd w:id="78"/>
      <w:bookmarkEnd w:id="79"/>
      <w:bookmarkEnd w:id="80"/>
    </w:p>
    <w:p>
      <w:pPr>
        <w:pStyle w:val="5"/>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pacing w:val="-20"/>
          <w:sz w:val="44"/>
          <w:szCs w:val="44"/>
          <w:lang w:val="zh-CN"/>
        </w:rPr>
      </w:pPr>
      <w:bookmarkStart w:id="81" w:name="_Toc15396618"/>
      <w:r>
        <w:rPr>
          <w:rFonts w:hint="eastAsia" w:ascii="方正小标宋简体" w:hAnsi="方正小标宋简体" w:eastAsia="方正小标宋简体" w:cs="方正小标宋简体"/>
          <w:spacing w:val="-20"/>
          <w:sz w:val="44"/>
          <w:szCs w:val="44"/>
        </w:rPr>
        <w:t>2021年</w:t>
      </w:r>
      <w:r>
        <w:rPr>
          <w:rFonts w:hint="eastAsia" w:ascii="方正小标宋简体" w:hAnsi="方正小标宋简体" w:eastAsia="方正小标宋简体" w:cs="方正小标宋简体"/>
          <w:spacing w:val="-20"/>
          <w:sz w:val="44"/>
          <w:szCs w:val="44"/>
          <w:lang w:val="zh-CN"/>
        </w:rPr>
        <w:t>专项预算项目支出绩效自评报告（一）</w:t>
      </w:r>
    </w:p>
    <w:p>
      <w:pPr>
        <w:spacing w:line="600" w:lineRule="exact"/>
        <w:ind w:firstLine="883"/>
        <w:rPr>
          <w:rFonts w:ascii="仿宋_GB2312" w:hAnsi="宋体" w:eastAsia="仿宋_GB2312"/>
          <w:sz w:val="32"/>
          <w:szCs w:val="32"/>
          <w:lang w:val="zh-CN"/>
        </w:rPr>
      </w:pPr>
      <w:r>
        <w:rPr>
          <w:rFonts w:hint="eastAsia" w:ascii="仿宋_GB2312" w:hAnsi="宋体" w:eastAsia="仿宋_GB2312"/>
          <w:sz w:val="32"/>
          <w:szCs w:val="32"/>
          <w:lang w:val="zh-CN"/>
        </w:rPr>
        <w:t>（"一卡通"阳光审批平台建设采购资金项目）</w:t>
      </w:r>
    </w:p>
    <w:p>
      <w:pPr>
        <w:spacing w:line="560" w:lineRule="exact"/>
        <w:ind w:firstLine="643" w:firstLineChars="200"/>
        <w:rPr>
          <w:rFonts w:ascii="黑体" w:eastAsia="黑体" w:cs="黑体"/>
          <w:b/>
          <w:bCs/>
          <w:sz w:val="32"/>
          <w:szCs w:val="32"/>
        </w:rPr>
      </w:pPr>
    </w:p>
    <w:p>
      <w:pPr>
        <w:spacing w:line="560" w:lineRule="exact"/>
        <w:ind w:firstLine="643" w:firstLineChars="200"/>
        <w:outlineLvl w:val="1"/>
        <w:rPr>
          <w:rFonts w:ascii="黑体" w:eastAsia="黑体"/>
          <w:b/>
          <w:bCs/>
          <w:sz w:val="32"/>
          <w:szCs w:val="32"/>
        </w:rPr>
      </w:pPr>
      <w:bookmarkStart w:id="82" w:name="_Toc29727"/>
      <w:bookmarkStart w:id="83" w:name="_Toc29052"/>
      <w:r>
        <w:rPr>
          <w:rFonts w:hint="eastAsia" w:ascii="黑体" w:eastAsia="黑体" w:cs="黑体"/>
          <w:b/>
          <w:bCs/>
          <w:sz w:val="32"/>
          <w:szCs w:val="32"/>
        </w:rPr>
        <w:t>一、项目概况</w:t>
      </w:r>
      <w:bookmarkEnd w:id="82"/>
      <w:bookmarkEnd w:id="83"/>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（一）项目基本情况。</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cs="仿宋_GB2312"/>
          <w:sz w:val="32"/>
          <w:szCs w:val="32"/>
        </w:rPr>
        <w:t>根据</w:t>
      </w:r>
      <w:r>
        <w:rPr>
          <w:rFonts w:hint="eastAsia" w:ascii="仿宋_GB2312" w:eastAsia="仿宋_GB2312" w:cs="仿宋_GB2312"/>
          <w:kern w:val="0"/>
          <w:sz w:val="32"/>
          <w:szCs w:val="32"/>
          <w:lang w:val="zh-CN"/>
        </w:rPr>
        <w:t>省财政厅《关于进一步推进惠民惠农财政补贴资金“一卡通”阳光审批工作的通知》（川财办〔</w:t>
      </w:r>
      <w:r>
        <w:rPr>
          <w:rFonts w:ascii="仿宋_GB2312" w:eastAsia="仿宋_GB2312" w:cs="仿宋_GB2312"/>
          <w:kern w:val="0"/>
          <w:sz w:val="32"/>
          <w:szCs w:val="32"/>
          <w:lang w:val="zh-CN"/>
        </w:rPr>
        <w:t>2021</w:t>
      </w:r>
      <w:r>
        <w:rPr>
          <w:rFonts w:hint="eastAsia" w:ascii="仿宋_GB2312" w:eastAsia="仿宋_GB2312" w:cs="仿宋_GB2312"/>
          <w:kern w:val="0"/>
          <w:sz w:val="32"/>
          <w:szCs w:val="32"/>
          <w:lang w:val="zh-CN"/>
        </w:rPr>
        <w:t>〕</w:t>
      </w:r>
      <w:r>
        <w:rPr>
          <w:rFonts w:ascii="仿宋_GB2312" w:eastAsia="仿宋_GB2312" w:cs="仿宋_GB2312"/>
          <w:kern w:val="0"/>
          <w:sz w:val="32"/>
          <w:szCs w:val="32"/>
          <w:lang w:val="zh-CN"/>
        </w:rPr>
        <w:t>3</w:t>
      </w:r>
      <w:r>
        <w:rPr>
          <w:rFonts w:hint="eastAsia" w:ascii="仿宋_GB2312" w:eastAsia="仿宋_GB2312" w:cs="仿宋_GB2312"/>
          <w:kern w:val="0"/>
          <w:sz w:val="32"/>
          <w:szCs w:val="32"/>
          <w:lang w:val="zh-CN"/>
        </w:rPr>
        <w:t>号）、省财政厅等</w:t>
      </w:r>
      <w:r>
        <w:rPr>
          <w:rFonts w:ascii="仿宋_GB2312" w:eastAsia="仿宋_GB2312" w:cs="仿宋_GB2312"/>
          <w:kern w:val="0"/>
          <w:sz w:val="32"/>
          <w:szCs w:val="32"/>
          <w:lang w:val="zh-CN"/>
        </w:rPr>
        <w:t>7</w:t>
      </w:r>
      <w:r>
        <w:rPr>
          <w:rFonts w:hint="eastAsia" w:ascii="仿宋_GB2312" w:eastAsia="仿宋_GB2312" w:cs="仿宋_GB2312"/>
          <w:kern w:val="0"/>
          <w:sz w:val="32"/>
          <w:szCs w:val="32"/>
          <w:lang w:val="zh-CN"/>
        </w:rPr>
        <w:t>部门联合印发的《关于加强惠民惠农财政补贴资金“一卡通”管理的通知》（川财办〔</w:t>
      </w:r>
      <w:r>
        <w:rPr>
          <w:rFonts w:ascii="仿宋_GB2312" w:eastAsia="仿宋_GB2312" w:cs="仿宋_GB2312"/>
          <w:kern w:val="0"/>
          <w:sz w:val="32"/>
          <w:szCs w:val="32"/>
          <w:lang w:val="zh-CN"/>
        </w:rPr>
        <w:t>2021</w:t>
      </w:r>
      <w:r>
        <w:rPr>
          <w:rFonts w:hint="eastAsia" w:ascii="仿宋_GB2312" w:eastAsia="仿宋_GB2312" w:cs="仿宋_GB2312"/>
          <w:kern w:val="0"/>
          <w:sz w:val="32"/>
          <w:szCs w:val="32"/>
          <w:lang w:val="zh-CN"/>
        </w:rPr>
        <w:t>〕</w:t>
      </w:r>
      <w:r>
        <w:rPr>
          <w:rFonts w:ascii="仿宋_GB2312" w:eastAsia="仿宋_GB2312" w:cs="仿宋_GB2312"/>
          <w:kern w:val="0"/>
          <w:sz w:val="32"/>
          <w:szCs w:val="32"/>
          <w:lang w:val="zh-CN"/>
        </w:rPr>
        <w:t>6</w:t>
      </w:r>
      <w:r>
        <w:rPr>
          <w:rFonts w:hint="eastAsia" w:ascii="仿宋_GB2312" w:eastAsia="仿宋_GB2312" w:cs="仿宋_GB2312"/>
          <w:kern w:val="0"/>
          <w:sz w:val="32"/>
          <w:szCs w:val="32"/>
          <w:lang w:val="zh-CN"/>
        </w:rPr>
        <w:t>号）和全省惠民惠农“一卡通”阳光审批系统建设推进会精神，要求</w:t>
      </w:r>
      <w:r>
        <w:rPr>
          <w:rFonts w:ascii="仿宋_GB2312" w:eastAsia="仿宋_GB2312" w:cs="仿宋_GB2312"/>
          <w:kern w:val="0"/>
          <w:sz w:val="32"/>
          <w:szCs w:val="32"/>
          <w:lang w:val="zh-CN"/>
        </w:rPr>
        <w:t>2021</w:t>
      </w:r>
      <w:r>
        <w:rPr>
          <w:rFonts w:hint="eastAsia" w:ascii="仿宋_GB2312" w:eastAsia="仿宋_GB2312" w:cs="仿宋_GB2312"/>
          <w:kern w:val="0"/>
          <w:sz w:val="32"/>
          <w:szCs w:val="32"/>
          <w:lang w:val="zh-CN"/>
        </w:rPr>
        <w:t>年</w:t>
      </w:r>
      <w:r>
        <w:rPr>
          <w:rFonts w:ascii="仿宋_GB2312" w:eastAsia="仿宋_GB2312" w:cs="仿宋_GB2312"/>
          <w:kern w:val="0"/>
          <w:sz w:val="32"/>
          <w:szCs w:val="32"/>
          <w:lang w:val="zh-CN"/>
        </w:rPr>
        <w:t>9</w:t>
      </w:r>
      <w:r>
        <w:rPr>
          <w:rFonts w:hint="eastAsia" w:ascii="仿宋_GB2312" w:eastAsia="仿宋_GB2312" w:cs="仿宋_GB2312"/>
          <w:kern w:val="0"/>
          <w:sz w:val="32"/>
          <w:szCs w:val="32"/>
          <w:lang w:val="zh-CN"/>
        </w:rPr>
        <w:t>月底前，市县两级全面建成“一卡通”阳光审批系统。</w:t>
      </w:r>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（二）项目绩效目标。</w:t>
      </w:r>
    </w:p>
    <w:p>
      <w:pPr>
        <w:spacing w:line="560" w:lineRule="exact"/>
        <w:ind w:firstLine="640" w:firstLineChars="200"/>
        <w:rPr>
          <w:rFonts w:ascii="楷体_GB2312" w:eastAsia="楷体_GB2312"/>
          <w:b/>
          <w:bCs/>
          <w:sz w:val="32"/>
          <w:szCs w:val="32"/>
        </w:rPr>
      </w:pPr>
      <w:r>
        <w:rPr>
          <w:rFonts w:hint="eastAsia" w:ascii="仿宋_GB2312" w:hAnsi="Calibri" w:eastAsia="仿宋_GB2312" w:cs="仿宋_GB2312"/>
          <w:sz w:val="32"/>
          <w:szCs w:val="32"/>
        </w:rPr>
        <w:t>该项目预期在</w:t>
      </w:r>
      <w:r>
        <w:rPr>
          <w:rFonts w:ascii="仿宋_GB2312" w:hAnsi="Calibri" w:eastAsia="仿宋_GB2312" w:cs="仿宋_GB2312"/>
          <w:sz w:val="32"/>
          <w:szCs w:val="32"/>
        </w:rPr>
        <w:t>202</w:t>
      </w:r>
      <w:r>
        <w:rPr>
          <w:rFonts w:hint="eastAsia" w:ascii="仿宋_GB2312" w:hAnsi="Calibri" w:eastAsia="仿宋_GB2312" w:cs="仿宋_GB2312"/>
          <w:sz w:val="32"/>
          <w:szCs w:val="32"/>
        </w:rPr>
        <w:t>1年9月底前，建成</w:t>
      </w:r>
      <w:r>
        <w:rPr>
          <w:rFonts w:hint="eastAsia" w:ascii="仿宋_GB2312" w:eastAsia="仿宋_GB2312" w:cs="仿宋_GB2312"/>
          <w:kern w:val="0"/>
          <w:sz w:val="32"/>
          <w:szCs w:val="32"/>
          <w:lang w:val="zh-CN"/>
        </w:rPr>
        <w:t>“一卡通”阳光审批系统并上线试运行</w:t>
      </w:r>
      <w:r>
        <w:rPr>
          <w:rFonts w:hint="eastAsia" w:ascii="仿宋_GB2312" w:hAnsi="Calibri" w:eastAsia="仿宋_GB2312" w:cs="仿宋_GB2312"/>
          <w:sz w:val="32"/>
          <w:szCs w:val="32"/>
        </w:rPr>
        <w:t>。</w:t>
      </w:r>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（三）资金申报相符性。</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项目资金的内容与我单位开展</w:t>
      </w:r>
      <w:r>
        <w:rPr>
          <w:rFonts w:hint="eastAsia" w:ascii="仿宋_GB2312" w:hAnsi="Calibri" w:eastAsia="仿宋_GB2312" w:cs="仿宋_GB2312"/>
          <w:sz w:val="32"/>
          <w:szCs w:val="32"/>
        </w:rPr>
        <w:t>广元市</w:t>
      </w:r>
      <w:r>
        <w:rPr>
          <w:rFonts w:hint="eastAsia" w:ascii="仿宋_GB2312" w:eastAsia="仿宋_GB2312" w:cs="仿宋_GB2312"/>
          <w:kern w:val="0"/>
          <w:sz w:val="32"/>
          <w:szCs w:val="32"/>
          <w:lang w:val="zh-CN"/>
        </w:rPr>
        <w:t>“一卡通”阳光审批系统建设</w:t>
      </w:r>
      <w:r>
        <w:rPr>
          <w:rFonts w:hint="eastAsia" w:ascii="仿宋_GB2312" w:hAnsi="Calibri" w:eastAsia="仿宋_GB2312" w:cs="仿宋_GB2312"/>
          <w:sz w:val="32"/>
          <w:szCs w:val="32"/>
        </w:rPr>
        <w:t>工作活动</w:t>
      </w:r>
      <w:r>
        <w:rPr>
          <w:rFonts w:hint="eastAsia" w:ascii="仿宋_GB2312" w:eastAsia="仿宋_GB2312" w:cs="仿宋_GB2312"/>
          <w:sz w:val="32"/>
          <w:szCs w:val="32"/>
        </w:rPr>
        <w:t>内容完全相符、申报目标经测算是合理可行的。</w:t>
      </w:r>
    </w:p>
    <w:p>
      <w:pPr>
        <w:adjustRightInd w:val="0"/>
        <w:snapToGrid w:val="0"/>
        <w:spacing w:line="560" w:lineRule="exact"/>
        <w:ind w:firstLine="720"/>
        <w:outlineLvl w:val="1"/>
        <w:rPr>
          <w:rFonts w:ascii="黑体" w:hAnsi="宋体" w:eastAsia="黑体"/>
          <w:sz w:val="32"/>
          <w:szCs w:val="32"/>
        </w:rPr>
      </w:pPr>
      <w:bookmarkStart w:id="84" w:name="_Toc8766"/>
      <w:bookmarkStart w:id="85" w:name="_Toc10827"/>
      <w:r>
        <w:rPr>
          <w:rFonts w:hint="eastAsia" w:ascii="黑体" w:hAnsi="宋体" w:eastAsia="黑体" w:cs="黑体"/>
          <w:sz w:val="32"/>
          <w:szCs w:val="32"/>
        </w:rPr>
        <w:t>二、项目资金申报及使用情况</w:t>
      </w:r>
      <w:bookmarkEnd w:id="84"/>
      <w:bookmarkEnd w:id="85"/>
    </w:p>
    <w:p>
      <w:pPr>
        <w:adjustRightInd w:val="0"/>
        <w:snapToGrid w:val="0"/>
        <w:spacing w:line="560" w:lineRule="exact"/>
        <w:ind w:firstLine="720"/>
        <w:rPr>
          <w:rFonts w:ascii="仿宋_GB2312" w:hAnsi="宋体" w:eastAsia="仿宋_GB2312"/>
          <w:sz w:val="32"/>
          <w:szCs w:val="32"/>
        </w:rPr>
      </w:pPr>
      <w:r>
        <w:rPr>
          <w:rFonts w:hint="eastAsia" w:ascii="楷体_GB2312" w:eastAsia="楷体_GB2312" w:cs="楷体_GB2312"/>
          <w:b/>
          <w:bCs/>
          <w:sz w:val="32"/>
          <w:szCs w:val="32"/>
        </w:rPr>
        <w:t>（一）资金申报及批复情况</w:t>
      </w:r>
      <w:r>
        <w:rPr>
          <w:rFonts w:hint="eastAsia" w:ascii="仿宋_GB2312" w:eastAsia="仿宋_GB2312" w:cs="仿宋_GB2312"/>
          <w:spacing w:val="-8"/>
          <w:sz w:val="32"/>
          <w:szCs w:val="32"/>
        </w:rPr>
        <w:t>。</w:t>
      </w:r>
      <w:r>
        <w:rPr>
          <w:rFonts w:hint="eastAsia" w:ascii="仿宋_GB2312" w:hAnsi="宋体" w:eastAsia="仿宋_GB2312" w:cs="仿宋_GB2312"/>
          <w:sz w:val="32"/>
          <w:szCs w:val="32"/>
          <w:lang w:val="zh-CN"/>
        </w:rPr>
        <w:t>经市委、市政府主要领导批示，市财政局调整2021年度预算300万元为</w:t>
      </w:r>
      <w:r>
        <w:rPr>
          <w:rFonts w:hint="eastAsia" w:ascii="仿宋_GB2312" w:hAnsi="Calibri" w:eastAsia="仿宋_GB2312" w:cs="仿宋_GB2312"/>
          <w:sz w:val="32"/>
          <w:szCs w:val="32"/>
        </w:rPr>
        <w:t>广元市“一卡通”阳光审批系统建设</w:t>
      </w:r>
      <w:r>
        <w:rPr>
          <w:rFonts w:hint="eastAsia" w:ascii="仿宋_GB2312" w:hAnsi="宋体" w:eastAsia="仿宋_GB2312" w:cs="仿宋_GB2312"/>
          <w:sz w:val="32"/>
          <w:szCs w:val="32"/>
          <w:lang w:val="zh-CN"/>
        </w:rPr>
        <w:t>项目经费。</w:t>
      </w:r>
    </w:p>
    <w:p>
      <w:pPr>
        <w:spacing w:line="560" w:lineRule="exact"/>
        <w:ind w:firstLine="643" w:firstLineChars="200"/>
        <w:rPr>
          <w:rFonts w:ascii="仿宋_GB2312" w:hAnsi="宋体" w:eastAsia="仿宋_GB2312" w:cs="仿宋_GB2312"/>
          <w:sz w:val="32"/>
          <w:szCs w:val="32"/>
          <w:lang w:val="zh-CN"/>
        </w:rPr>
      </w:pPr>
      <w:r>
        <w:rPr>
          <w:rFonts w:hint="eastAsia" w:ascii="楷体_GB2312" w:eastAsia="楷体_GB2312" w:cs="楷体_GB2312"/>
          <w:b/>
          <w:bCs/>
          <w:sz w:val="32"/>
          <w:szCs w:val="32"/>
        </w:rPr>
        <w:t>（二）资金计划、到位、使用情况</w:t>
      </w:r>
      <w:r>
        <w:rPr>
          <w:rFonts w:hint="eastAsia" w:ascii="仿宋_GB2312" w:eastAsia="仿宋_GB2312" w:cs="仿宋_GB2312"/>
          <w:sz w:val="32"/>
          <w:szCs w:val="32"/>
        </w:rPr>
        <w:t>。</w:t>
      </w:r>
      <w:r>
        <w:rPr>
          <w:rFonts w:hint="eastAsia" w:ascii="仿宋_GB2312" w:hAnsi="宋体" w:eastAsia="仿宋_GB2312" w:cs="仿宋_GB2312"/>
          <w:sz w:val="32"/>
          <w:szCs w:val="32"/>
          <w:lang w:val="zh-CN"/>
        </w:rPr>
        <w:t>该项目资金计划300万元，到位300万元，资金到位率</w:t>
      </w:r>
      <w:r>
        <w:rPr>
          <w:rFonts w:ascii="仿宋_GB2312" w:hAnsi="宋体" w:eastAsia="仿宋_GB2312" w:cs="仿宋_GB2312"/>
          <w:sz w:val="32"/>
          <w:szCs w:val="32"/>
          <w:lang w:val="zh-CN"/>
        </w:rPr>
        <w:t>100%</w:t>
      </w:r>
      <w:r>
        <w:rPr>
          <w:rFonts w:hint="eastAsia" w:ascii="仿宋_GB2312" w:hAnsi="宋体" w:eastAsia="仿宋_GB2312" w:cs="仿宋_GB2312"/>
          <w:sz w:val="32"/>
          <w:szCs w:val="32"/>
          <w:lang w:val="zh-CN"/>
        </w:rPr>
        <w:t>，为本级财政拨款资金。截止到评价日，该项目资金已使用</w:t>
      </w:r>
      <w:r>
        <w:rPr>
          <w:rFonts w:hint="eastAsia" w:ascii="仿宋_GB2312" w:hAnsi="宋体" w:eastAsia="仿宋_GB2312" w:cs="仿宋_GB2312"/>
          <w:color w:val="000000" w:themeColor="text1"/>
          <w:sz w:val="32"/>
          <w:szCs w:val="32"/>
          <w:lang w:val="en-US" w:eastAsia="zh-CN"/>
        </w:rPr>
        <w:t>269.03</w:t>
      </w:r>
      <w:r>
        <w:rPr>
          <w:rFonts w:hint="eastAsia" w:ascii="仿宋_GB2312" w:hAnsi="宋体" w:eastAsia="仿宋_GB2312" w:cs="仿宋_GB2312"/>
          <w:color w:val="000000" w:themeColor="text1"/>
          <w:sz w:val="32"/>
          <w:szCs w:val="32"/>
          <w:lang w:val="zh-CN"/>
        </w:rPr>
        <w:t>万元，完成支付239.44</w:t>
      </w:r>
      <w:r>
        <w:rPr>
          <w:rFonts w:hint="eastAsia" w:ascii="仿宋_GB2312" w:hAnsi="宋体" w:eastAsia="仿宋_GB2312" w:cs="仿宋_GB2312"/>
          <w:sz w:val="32"/>
          <w:szCs w:val="32"/>
          <w:lang w:val="zh-CN"/>
        </w:rPr>
        <w:t>万元，预算支出未发现无预算、超预算支出，资金使用安全、规范及有效，资金支付范围、支付标准、支付进度、支付依据等合规合法、与预算相符，未发现虚列支出、挤占、挪用、转移财政资金行为。</w:t>
      </w:r>
    </w:p>
    <w:p>
      <w:pPr>
        <w:spacing w:line="560" w:lineRule="exact"/>
        <w:ind w:firstLine="643" w:firstLineChars="200"/>
        <w:outlineLvl w:val="1"/>
        <w:rPr>
          <w:rFonts w:ascii="黑体" w:eastAsia="黑体"/>
          <w:b/>
          <w:bCs/>
          <w:sz w:val="32"/>
          <w:szCs w:val="32"/>
        </w:rPr>
      </w:pPr>
      <w:bookmarkStart w:id="86" w:name="_Toc13097"/>
      <w:bookmarkStart w:id="87" w:name="_Toc1270"/>
      <w:r>
        <w:rPr>
          <w:rFonts w:hint="eastAsia" w:ascii="黑体" w:eastAsia="黑体" w:cs="黑体"/>
          <w:b/>
          <w:bCs/>
          <w:sz w:val="32"/>
          <w:szCs w:val="32"/>
        </w:rPr>
        <w:t>三、项目实施及管理情况</w:t>
      </w:r>
      <w:bookmarkEnd w:id="86"/>
      <w:bookmarkEnd w:id="87"/>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（一）项目组织架构及实施情况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该项目由纪检监察部门、财政部门、人力资源社会保障部门、公安部门、审计部门和银保监部门等7部门联合推进落实。</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我局对“一卡通”阳光审批系统进行了建设、维护和管理；对使用系统的业务主管部门进行操作培训；延伸查询公示至天府通办APP；开展系统使用宣传。</w:t>
      </w:r>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（二）项目管理情况</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cs="仿宋_GB2312"/>
          <w:sz w:val="32"/>
          <w:szCs w:val="32"/>
        </w:rPr>
        <w:t>根据《广元市惠民惠农财政补贴资金社会保障卡“一卡通”管理暂行办法》严格进行项目实施和管理。</w:t>
      </w:r>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（三）项目监管情况</w:t>
      </w:r>
    </w:p>
    <w:p>
      <w:pPr>
        <w:spacing w:line="560" w:lineRule="exact"/>
        <w:rPr>
          <w:rFonts w:ascii="楷体_GB2312" w:eastAsia="楷体_GB2312"/>
          <w:b/>
          <w:bCs/>
          <w:sz w:val="32"/>
          <w:szCs w:val="32"/>
        </w:rPr>
      </w:pPr>
      <w:r>
        <w:rPr>
          <w:rFonts w:ascii="楷体_GB2312" w:eastAsia="楷体_GB2312" w:cs="楷体_GB2312"/>
          <w:b/>
          <w:bCs/>
          <w:sz w:val="32"/>
          <w:szCs w:val="32"/>
        </w:rPr>
        <w:t xml:space="preserve">    </w:t>
      </w:r>
      <w:r>
        <w:rPr>
          <w:rFonts w:hint="eastAsia" w:ascii="仿宋_GB2312" w:hAnsi="Calibri" w:eastAsia="仿宋_GB2312" w:cs="仿宋_GB2312"/>
          <w:sz w:val="32"/>
          <w:szCs w:val="32"/>
        </w:rPr>
        <w:t>根据《广元市惠民惠农财政补贴资金社会保障卡“一卡通”管理暂行办法》，</w:t>
      </w:r>
      <w:r>
        <w:rPr>
          <w:rFonts w:hint="eastAsia" w:ascii="仿宋_GB2312" w:hAnsi="宋体" w:eastAsia="仿宋_GB2312" w:cs="仿宋_GB2312"/>
          <w:sz w:val="32"/>
          <w:szCs w:val="32"/>
        </w:rPr>
        <w:t>该项目分别由纪检监察部门、审计部门、银保监部门对各个环节进行监督检查和处理。</w:t>
      </w:r>
    </w:p>
    <w:p>
      <w:pPr>
        <w:spacing w:line="560" w:lineRule="exact"/>
        <w:ind w:firstLine="643" w:firstLineChars="200"/>
        <w:outlineLvl w:val="1"/>
        <w:rPr>
          <w:rFonts w:ascii="黑体" w:eastAsia="黑体"/>
          <w:b/>
          <w:bCs/>
          <w:sz w:val="32"/>
          <w:szCs w:val="32"/>
        </w:rPr>
      </w:pPr>
      <w:bookmarkStart w:id="88" w:name="_Toc24001"/>
      <w:bookmarkStart w:id="89" w:name="_Toc11233"/>
      <w:r>
        <w:rPr>
          <w:rFonts w:hint="eastAsia" w:ascii="黑体" w:eastAsia="黑体" w:cs="黑体"/>
          <w:b/>
          <w:bCs/>
          <w:sz w:val="32"/>
          <w:szCs w:val="32"/>
        </w:rPr>
        <w:t>四、项目绩效情况</w:t>
      </w:r>
      <w:bookmarkEnd w:id="88"/>
      <w:bookmarkEnd w:id="89"/>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（一）项目完成情况</w:t>
      </w:r>
    </w:p>
    <w:p>
      <w:pPr>
        <w:pStyle w:val="14"/>
        <w:spacing w:line="560" w:lineRule="exact"/>
        <w:ind w:left="0" w:leftChars="0" w:firstLine="640"/>
        <w:rPr>
          <w:rFonts w:ascii="仿宋_GB2312" w:eastAsia="仿宋_GB2312"/>
          <w:sz w:val="32"/>
          <w:szCs w:val="32"/>
        </w:rPr>
      </w:pPr>
      <w:r>
        <w:rPr>
          <w:rFonts w:hint="eastAsia" w:ascii="仿宋_GB2312" w:eastAsia="仿宋_GB2312" w:cs="仿宋_GB2312"/>
          <w:sz w:val="32"/>
          <w:szCs w:val="32"/>
        </w:rPr>
        <w:t>2021年9月18日，系统上线试运行，全市纳入“一卡通”阳光审批系统项目42个，其中省级项目13个，市级项目29个。已通过“一卡通”系统申报补贴1216.8万人次，实现发放43.23亿元，惠及126.88万人。</w:t>
      </w:r>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（二）项目效益情况</w:t>
      </w:r>
    </w:p>
    <w:p>
      <w:pPr>
        <w:adjustRightInd w:val="0"/>
        <w:snapToGrid w:val="0"/>
        <w:spacing w:line="576" w:lineRule="exact"/>
        <w:ind w:firstLine="720"/>
        <w:rPr>
          <w:rFonts w:ascii="仿宋_GB2312" w:hAnsi="Calibri" w:eastAsia="仿宋_GB2312" w:cs="仿宋_GB2312"/>
          <w:sz w:val="32"/>
          <w:szCs w:val="32"/>
        </w:rPr>
      </w:pPr>
      <w:bookmarkStart w:id="90" w:name="_Toc71038136"/>
      <w:r>
        <w:rPr>
          <w:rFonts w:hint="eastAsia" w:ascii="仿宋_GB2312" w:hAnsi="Calibri" w:eastAsia="仿宋_GB2312" w:cs="仿宋_GB2312"/>
          <w:sz w:val="32"/>
          <w:szCs w:val="32"/>
        </w:rPr>
        <w:t>1、经济效益分析</w:t>
      </w:r>
      <w:bookmarkEnd w:id="90"/>
      <w:r>
        <w:rPr>
          <w:rFonts w:hint="eastAsia" w:ascii="仿宋_GB2312" w:hAnsi="Calibri" w:eastAsia="仿宋_GB2312" w:cs="仿宋_GB2312"/>
          <w:sz w:val="32"/>
          <w:szCs w:val="32"/>
        </w:rPr>
        <w:t>。一是提高行政效率，降低行政管理成本。广元市惠民惠农财政补贴“一卡通”监管发放阳光审批平台项目实现从“阳光审批”到“阳光发放”的全方位监管的全程信息化，使业务经办人员能够专注于管理与服务，将更多的精力投入到为权益保障服务工作中去，提升行政效率的同时，还降低了行政成本。二是统一规划建设，节约建设和运行资金。统一设计、统一开发应用系统，可以节省大量的建设费用和政府采购成本，充分发挥应用软件及维护的规模效益，降低管理成本，同时也避免了标准不统一造成的网络无法互联的问题。三是促进业务规范化，防止资金“跑冒滴漏”。在惠民惠农管理服务工作中，有诸多环节涉及到对资金的管理，在收、管、支等各个环节都有可能存在安全隐患。广元市惠民惠农财政补贴“一卡通”监管发放阳光审批平台的建设，将在实现从“阳光审批”到“阳光发放”的全方位监管业务信息化的基础上，进一步提升业务管理水平，通过技术手段避免经办过程中的人为因素干扰、虚报享受政策人员，套取资金的现象出现，有效保障资金安全。</w:t>
      </w:r>
    </w:p>
    <w:p>
      <w:pPr>
        <w:adjustRightInd w:val="0"/>
        <w:snapToGrid w:val="0"/>
        <w:spacing w:line="576" w:lineRule="exact"/>
        <w:ind w:firstLine="720"/>
        <w:rPr>
          <w:rFonts w:ascii="仿宋_GB2312" w:hAnsi="Calibri" w:eastAsia="仿宋_GB2312" w:cs="仿宋_GB2312"/>
          <w:sz w:val="32"/>
          <w:szCs w:val="32"/>
        </w:rPr>
      </w:pPr>
      <w:bookmarkStart w:id="91" w:name="_Toc422086609"/>
      <w:bookmarkStart w:id="92" w:name="_Toc387069859"/>
      <w:bookmarkStart w:id="93" w:name="_Toc71038137"/>
      <w:r>
        <w:rPr>
          <w:rFonts w:hint="eastAsia" w:ascii="仿宋_GB2312" w:hAnsi="Calibri" w:eastAsia="仿宋_GB2312" w:cs="仿宋_GB2312"/>
          <w:sz w:val="32"/>
          <w:szCs w:val="32"/>
        </w:rPr>
        <w:t>2、社会效益</w:t>
      </w:r>
      <w:bookmarkEnd w:id="91"/>
      <w:bookmarkEnd w:id="92"/>
      <w:r>
        <w:rPr>
          <w:rFonts w:hint="eastAsia" w:ascii="仿宋_GB2312" w:hAnsi="Calibri" w:eastAsia="仿宋_GB2312" w:cs="仿宋_GB2312"/>
          <w:sz w:val="32"/>
          <w:szCs w:val="32"/>
        </w:rPr>
        <w:t>分析</w:t>
      </w:r>
      <w:bookmarkEnd w:id="93"/>
      <w:r>
        <w:rPr>
          <w:rFonts w:hint="eastAsia" w:ascii="仿宋_GB2312" w:hAnsi="Calibri" w:eastAsia="仿宋_GB2312" w:cs="仿宋_GB2312"/>
          <w:sz w:val="32"/>
          <w:szCs w:val="32"/>
        </w:rPr>
        <w:t>。一是践行“民生为本”理念，促进构建和谐社会。财政局会同纪委监委等六部门，研究制定了全市《惠民惠农财政补贴资金社会保障卡“一卡通”实施方案》，明确发放范围、实施步骤、时间安排和具体要求。通过该系统的建设，将极大提升广元市从“阳光审批”到“阳光发放”的全方位监管业务开展的政策持续能力、监管能力、业务协同能力，为确保人民群众原有生活水平不降低、长远生计有保障。二是改善业务流程，提高行政办事效率。升级改造建设广元市惠民惠农财政补贴“一卡通”监管发放阳光审批平台，有助于提高业务部门的行政效率。通过部署信息化系统，改变信息的传递和流动方式，促进协同共享，减少重复信息的提交，改变办事方式。逐步扩大和完善广元市惠民惠农财政补贴“一卡通”监管发放阳光审批平台功能，构建适合信息社会的全新工作方式。三是提高决策科学性，发挥政府工作效能。通过广元市惠民惠农财政补贴“一卡通”监管发放阳光审批平台的建立，为广元市惠民惠农业务的深入展开和宏观决策、改进工作流程和方法、促进工作方式和作风转变提高信息基础，系统的建设提高了广元市业务经办各部门之间的协同工作能力，增强各部门合力，提高组织重大项目的能力，提高信息系统的统一规划、管理能力和容灾能力，为提高决策科学性提供了有利条件。</w:t>
      </w:r>
    </w:p>
    <w:p>
      <w:pPr>
        <w:spacing w:line="560" w:lineRule="exact"/>
        <w:ind w:firstLine="643" w:firstLineChars="200"/>
        <w:outlineLvl w:val="1"/>
        <w:rPr>
          <w:rFonts w:ascii="黑体" w:eastAsia="黑体"/>
          <w:b/>
          <w:bCs/>
          <w:sz w:val="32"/>
          <w:szCs w:val="32"/>
        </w:rPr>
      </w:pPr>
      <w:bookmarkStart w:id="94" w:name="_Toc16432"/>
      <w:bookmarkStart w:id="95" w:name="_Toc14327"/>
      <w:r>
        <w:rPr>
          <w:rFonts w:hint="eastAsia" w:ascii="黑体" w:eastAsia="黑体" w:cs="黑体"/>
          <w:b/>
          <w:bCs/>
          <w:sz w:val="32"/>
          <w:szCs w:val="32"/>
        </w:rPr>
        <w:t>五、自评结论及建议</w:t>
      </w:r>
      <w:bookmarkEnd w:id="94"/>
      <w:bookmarkEnd w:id="95"/>
    </w:p>
    <w:p>
      <w:p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（一）评价结论。</w:t>
      </w:r>
    </w:p>
    <w:p>
      <w:pPr>
        <w:spacing w:line="560" w:lineRule="exact"/>
        <w:ind w:firstLine="640" w:firstLineChars="200"/>
        <w:rPr>
          <w:rFonts w:ascii="楷体_GB2312" w:eastAsia="楷体_GB2312"/>
          <w:b/>
          <w:bCs/>
          <w:sz w:val="32"/>
          <w:szCs w:val="32"/>
        </w:rPr>
      </w:pPr>
      <w:r>
        <w:rPr>
          <w:rFonts w:hint="eastAsia" w:ascii="仿宋_GB2312" w:eastAsia="仿宋_GB2312" w:cs="仿宋_GB2312"/>
          <w:sz w:val="32"/>
          <w:szCs w:val="32"/>
        </w:rPr>
        <w:t>通过项目实施，</w:t>
      </w:r>
      <w:r>
        <w:rPr>
          <w:rFonts w:hint="eastAsia" w:ascii="仿宋_GB2312" w:eastAsia="仿宋_GB2312" w:cs="仿宋_GB2312"/>
          <w:kern w:val="0"/>
          <w:sz w:val="32"/>
          <w:szCs w:val="32"/>
          <w:lang w:val="zh-CN"/>
        </w:rPr>
        <w:t>实现对补贴人员的资格进行受理、审核、公示，对多地重复享受补贴的人员进行资格核实，发现违规领取补贴情况并进行查处登记；通过整合接惠民惠农财政补贴资金“一卡通”发放平台，实现对财政补贴资金从财务申报、资金管理到补贴发放的全链路管理，实现 “阳光审批”“阳光发放”和“阳光监管”三个阳光。</w:t>
      </w:r>
    </w:p>
    <w:p>
      <w:pPr>
        <w:numPr>
          <w:ilvl w:val="0"/>
          <w:numId w:val="5"/>
        </w:num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存在的问题。</w:t>
      </w:r>
    </w:p>
    <w:p>
      <w:pPr>
        <w:spacing w:line="560" w:lineRule="exact"/>
        <w:ind w:firstLine="420"/>
        <w:rPr>
          <w:rFonts w:ascii="仿宋_GB2312" w:eastAsia="仿宋_GB2312"/>
          <w:sz w:val="32"/>
          <w:szCs w:val="32"/>
        </w:rPr>
      </w:pPr>
      <w:r>
        <w:rPr>
          <w:rFonts w:hint="eastAsia" w:ascii="仿宋_GB2312" w:eastAsia="仿宋_GB2312" w:cs="仿宋_GB2312"/>
          <w:sz w:val="32"/>
          <w:szCs w:val="32"/>
        </w:rPr>
        <w:t>无</w:t>
      </w:r>
    </w:p>
    <w:p>
      <w:pPr>
        <w:numPr>
          <w:ilvl w:val="0"/>
          <w:numId w:val="5"/>
        </w:numPr>
        <w:spacing w:line="560" w:lineRule="exact"/>
        <w:ind w:firstLine="643" w:firstLineChars="200"/>
        <w:outlineLvl w:val="2"/>
        <w:rPr>
          <w:rFonts w:ascii="楷体_GB2312" w:eastAsia="楷体_GB2312"/>
          <w:b/>
          <w:bCs/>
          <w:sz w:val="32"/>
          <w:szCs w:val="32"/>
        </w:rPr>
      </w:pPr>
      <w:r>
        <w:rPr>
          <w:rFonts w:hint="eastAsia" w:ascii="楷体_GB2312" w:eastAsia="楷体_GB2312" w:cs="楷体_GB2312"/>
          <w:b/>
          <w:bCs/>
          <w:sz w:val="32"/>
          <w:szCs w:val="32"/>
        </w:rPr>
        <w:t>相关建议</w:t>
      </w:r>
    </w:p>
    <w:p>
      <w:pPr>
        <w:spacing w:line="560" w:lineRule="exact"/>
        <w:ind w:firstLine="420"/>
        <w:rPr>
          <w:rFonts w:ascii="楷体_GB2312" w:eastAsia="楷体_GB2312"/>
          <w:b/>
          <w:bCs/>
          <w:sz w:val="32"/>
          <w:szCs w:val="32"/>
        </w:rPr>
      </w:pPr>
      <w:r>
        <w:rPr>
          <w:rFonts w:hint="eastAsia" w:ascii="仿宋_GB2312" w:eastAsia="仿宋_GB2312" w:cs="仿宋_GB2312"/>
          <w:sz w:val="32"/>
          <w:szCs w:val="32"/>
        </w:rPr>
        <w:t>无</w:t>
      </w:r>
    </w:p>
    <w:p>
      <w:r>
        <w:rPr>
          <w:rFonts w:ascii="仿宋_GB2312" w:eastAsia="仿宋_GB2312"/>
          <w:sz w:val="32"/>
          <w:szCs w:val="32"/>
        </w:rPr>
        <w:br w:type="page"/>
      </w:r>
    </w:p>
    <w:p>
      <w:pPr>
        <w:spacing w:line="600" w:lineRule="exact"/>
        <w:jc w:val="center"/>
        <w:rPr>
          <w:rFonts w:ascii="方正小标宋简体" w:hAnsi="方正小标宋简体" w:eastAsia="方正小标宋简体" w:cs="方正小标宋简体"/>
          <w:spacing w:val="-20"/>
          <w:sz w:val="44"/>
          <w:szCs w:val="44"/>
          <w:lang w:val="zh-CN"/>
        </w:rPr>
      </w:pPr>
      <w:r>
        <w:rPr>
          <w:rFonts w:hint="eastAsia" w:ascii="方正小标宋简体" w:hAnsi="方正小标宋简体" w:eastAsia="方正小标宋简体" w:cs="方正小标宋简体"/>
          <w:spacing w:val="-20"/>
          <w:sz w:val="44"/>
          <w:szCs w:val="44"/>
        </w:rPr>
        <w:t>2021年</w:t>
      </w:r>
      <w:r>
        <w:rPr>
          <w:rFonts w:hint="eastAsia" w:ascii="方正小标宋简体" w:hAnsi="方正小标宋简体" w:eastAsia="方正小标宋简体" w:cs="方正小标宋简体"/>
          <w:spacing w:val="-20"/>
          <w:sz w:val="44"/>
          <w:szCs w:val="44"/>
          <w:lang w:val="zh-CN"/>
        </w:rPr>
        <w:t>专项预算项目支出绩效自评报（二）</w:t>
      </w:r>
    </w:p>
    <w:p>
      <w:pPr>
        <w:spacing w:line="600" w:lineRule="exact"/>
        <w:jc w:val="center"/>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（广元市就业和社会保障公共服务信息系统电费项目）</w:t>
      </w:r>
    </w:p>
    <w:p>
      <w:pPr>
        <w:adjustRightInd w:val="0"/>
        <w:snapToGrid w:val="0"/>
        <w:spacing w:line="576" w:lineRule="exact"/>
        <w:ind w:firstLine="720"/>
        <w:rPr>
          <w:rFonts w:ascii="黑体" w:hAnsi="黑体" w:eastAsia="黑体" w:cs="黑体"/>
          <w:sz w:val="32"/>
          <w:szCs w:val="32"/>
        </w:rPr>
      </w:pPr>
    </w:p>
    <w:p>
      <w:pPr>
        <w:adjustRightInd w:val="0"/>
        <w:snapToGrid w:val="0"/>
        <w:spacing w:line="576" w:lineRule="exact"/>
        <w:ind w:firstLine="720"/>
        <w:outlineLvl w:val="1"/>
        <w:rPr>
          <w:rFonts w:ascii="黑体" w:hAnsi="黑体" w:eastAsia="黑体" w:cs="黑体"/>
          <w:sz w:val="32"/>
          <w:szCs w:val="32"/>
          <w:lang w:val="zh-CN"/>
        </w:rPr>
      </w:pPr>
      <w:bookmarkStart w:id="96" w:name="_Toc1346"/>
      <w:bookmarkStart w:id="97" w:name="_Toc7824"/>
      <w:r>
        <w:rPr>
          <w:rFonts w:hint="eastAsia" w:ascii="黑体" w:hAnsi="黑体" w:eastAsia="黑体" w:cs="黑体"/>
          <w:sz w:val="32"/>
          <w:szCs w:val="32"/>
        </w:rPr>
        <w:t>一、</w:t>
      </w:r>
      <w:r>
        <w:rPr>
          <w:rFonts w:hint="eastAsia" w:ascii="黑体" w:hAnsi="黑体" w:eastAsia="黑体" w:cs="黑体"/>
          <w:sz w:val="32"/>
          <w:szCs w:val="32"/>
          <w:lang w:val="zh-CN"/>
        </w:rPr>
        <w:t>项目概况</w:t>
      </w:r>
      <w:bookmarkEnd w:id="96"/>
      <w:bookmarkEnd w:id="97"/>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市就业和社会保障局公共服务信息系统（金保工程）于2011年6月建成，7月正式投入使用。自2020年起，大部分业务系统已省集中，保留苍溪县城乡居民养老保险信息系统、就业和社会保障公共服务信息系统备份系统、广元市社保电子档案系统，以及相关监控、精密空调、新风机、ups电池、网络设备等配套设备。</w:t>
      </w:r>
    </w:p>
    <w:p>
      <w:pPr>
        <w:spacing w:line="576"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rPr>
        <w:t>（一）</w:t>
      </w:r>
      <w:r>
        <w:rPr>
          <w:rFonts w:hint="eastAsia" w:ascii="楷体" w:hAnsi="楷体" w:eastAsia="楷体" w:cs="楷体"/>
          <w:sz w:val="32"/>
          <w:szCs w:val="32"/>
          <w:lang w:val="zh-CN"/>
        </w:rPr>
        <w:t>项目资金申报及批复情况</w:t>
      </w:r>
    </w:p>
    <w:p>
      <w:pPr>
        <w:spacing w:line="576"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经市八届人大二次会议审查批准及市财政局批复，年初预算广元市就业和社会保障公共服务信息系统电费项目经费40万元</w:t>
      </w:r>
      <w:r>
        <w:rPr>
          <w:rFonts w:hint="eastAsia" w:ascii="仿宋" w:hAnsi="仿宋" w:eastAsia="仿宋" w:cs="仿宋"/>
          <w:sz w:val="32"/>
          <w:szCs w:val="32"/>
          <w:lang w:val="zh-CN"/>
        </w:rPr>
        <w:t>。</w:t>
      </w:r>
    </w:p>
    <w:p>
      <w:pPr>
        <w:spacing w:line="576"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（二）项目绩效目标</w:t>
      </w:r>
    </w:p>
    <w:p>
      <w:pPr>
        <w:spacing w:line="576" w:lineRule="exact"/>
        <w:ind w:firstLine="640" w:firstLineChars="200"/>
        <w:rPr>
          <w:rFonts w:ascii="仿宋" w:hAnsi="仿宋" w:eastAsia="仿宋" w:cs="仿宋"/>
          <w:b/>
          <w:sz w:val="32"/>
          <w:szCs w:val="32"/>
        </w:rPr>
      </w:pPr>
      <w:r>
        <w:rPr>
          <w:rFonts w:hint="eastAsia" w:ascii="仿宋" w:hAnsi="仿宋" w:eastAsia="仿宋" w:cs="仿宋"/>
          <w:sz w:val="32"/>
          <w:szCs w:val="32"/>
        </w:rPr>
        <w:t>该项目预期在2021年全年，保障中心机房供电率达100%。</w:t>
      </w:r>
    </w:p>
    <w:p>
      <w:pPr>
        <w:spacing w:line="576"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（三）资金申报相符性</w:t>
      </w:r>
    </w:p>
    <w:p>
      <w:pPr>
        <w:spacing w:line="576"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项目资金的内容与我单位开展保障广元市就业和社会保障公共服务信息系统中心机房供电活动内容完全相符、申报目标经测算是合理可行的。</w:t>
      </w:r>
    </w:p>
    <w:p>
      <w:pPr>
        <w:adjustRightInd w:val="0"/>
        <w:snapToGrid w:val="0"/>
        <w:spacing w:line="576" w:lineRule="exact"/>
        <w:ind w:firstLine="720"/>
        <w:outlineLvl w:val="1"/>
        <w:rPr>
          <w:rFonts w:ascii="黑体" w:hAnsi="黑体" w:eastAsia="黑体" w:cs="黑体"/>
          <w:sz w:val="32"/>
          <w:szCs w:val="32"/>
        </w:rPr>
      </w:pPr>
      <w:bookmarkStart w:id="98" w:name="_Toc11639"/>
      <w:bookmarkStart w:id="99" w:name="_Toc11405"/>
      <w:r>
        <w:rPr>
          <w:rFonts w:hint="eastAsia" w:ascii="黑体" w:hAnsi="黑体" w:eastAsia="黑体" w:cs="黑体"/>
          <w:sz w:val="32"/>
          <w:szCs w:val="32"/>
        </w:rPr>
        <w:t>二、项目实施及管理情况</w:t>
      </w:r>
      <w:bookmarkEnd w:id="98"/>
      <w:bookmarkEnd w:id="99"/>
    </w:p>
    <w:p>
      <w:pPr>
        <w:adjustRightInd w:val="0"/>
        <w:snapToGrid w:val="0"/>
        <w:spacing w:line="576" w:lineRule="exact"/>
        <w:ind w:firstLine="720"/>
        <w:outlineLvl w:val="2"/>
        <w:rPr>
          <w:rFonts w:ascii="楷体" w:hAnsi="楷体" w:eastAsia="楷体" w:cs="楷体"/>
          <w:sz w:val="32"/>
          <w:szCs w:val="32"/>
          <w:lang w:val="zh-CN"/>
        </w:rPr>
      </w:pPr>
      <w:r>
        <w:rPr>
          <w:rFonts w:hint="eastAsia" w:ascii="楷体" w:hAnsi="楷体" w:eastAsia="楷体" w:cs="楷体"/>
          <w:sz w:val="32"/>
          <w:szCs w:val="32"/>
          <w:lang w:val="zh-CN"/>
        </w:rPr>
        <w:tab/>
      </w:r>
      <w:r>
        <w:rPr>
          <w:rFonts w:hint="eastAsia" w:ascii="楷体" w:hAnsi="楷体" w:eastAsia="楷体" w:cs="楷体"/>
          <w:sz w:val="32"/>
          <w:szCs w:val="32"/>
          <w:lang w:val="zh-CN"/>
        </w:rPr>
        <w:t>（一）资金计划、到位及使用情况</w:t>
      </w:r>
    </w:p>
    <w:p>
      <w:pPr>
        <w:adjustRightInd w:val="0"/>
        <w:snapToGrid w:val="0"/>
        <w:spacing w:line="576" w:lineRule="exact"/>
        <w:ind w:firstLine="720"/>
        <w:outlineLvl w:val="3"/>
        <w:rPr>
          <w:rFonts w:ascii="仿宋" w:hAnsi="仿宋" w:eastAsia="仿宋" w:cs="仿宋"/>
          <w:sz w:val="32"/>
          <w:szCs w:val="32"/>
          <w:lang w:val="zh-CN"/>
        </w:rPr>
      </w:pPr>
      <w:r>
        <w:rPr>
          <w:rFonts w:hint="eastAsia" w:ascii="仿宋" w:hAnsi="仿宋" w:eastAsia="仿宋" w:cs="仿宋"/>
          <w:sz w:val="32"/>
          <w:szCs w:val="32"/>
          <w:lang w:val="zh-CN"/>
        </w:rPr>
        <w:t>1．资金计划及到位。</w:t>
      </w:r>
    </w:p>
    <w:p>
      <w:pPr>
        <w:adjustRightInd w:val="0"/>
        <w:snapToGrid w:val="0"/>
        <w:spacing w:line="576"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该项目资金计划40万元，到位40万元，资金到位率100%，为本级财政拨款资金。</w:t>
      </w:r>
    </w:p>
    <w:p>
      <w:pPr>
        <w:adjustRightInd w:val="0"/>
        <w:snapToGrid w:val="0"/>
        <w:spacing w:line="576" w:lineRule="exact"/>
        <w:ind w:firstLine="640" w:firstLineChars="200"/>
        <w:outlineLvl w:val="3"/>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资金使用</w:t>
      </w:r>
    </w:p>
    <w:p>
      <w:pPr>
        <w:adjustRightInd w:val="0"/>
        <w:snapToGrid w:val="0"/>
        <w:spacing w:line="576"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止到评价日，该项目资金已使用40万元，完成支付40万元，预算支出未发现无预算、超预算支出，资金使用安全、规范及有效，资金支付范围、支付标准、支付进度、支付依据等合规合法、与预算相符，未发现虚列支出、挤占、挪用、转移财政资金行为。</w:t>
      </w:r>
    </w:p>
    <w:p>
      <w:pPr>
        <w:adjustRightInd w:val="0"/>
        <w:snapToGrid w:val="0"/>
        <w:spacing w:line="576" w:lineRule="exact"/>
        <w:ind w:firstLine="720"/>
        <w:outlineLvl w:val="2"/>
        <w:rPr>
          <w:rFonts w:ascii="楷体" w:hAnsi="楷体" w:eastAsia="楷体" w:cs="楷体"/>
          <w:sz w:val="32"/>
          <w:szCs w:val="32"/>
          <w:lang w:val="zh-CN"/>
        </w:rPr>
      </w:pPr>
      <w:r>
        <w:rPr>
          <w:rFonts w:hint="eastAsia" w:ascii="楷体" w:hAnsi="楷体" w:eastAsia="楷体" w:cs="楷体"/>
          <w:sz w:val="32"/>
          <w:szCs w:val="32"/>
          <w:lang w:val="zh-CN"/>
        </w:rPr>
        <w:t>（二）项目财务管理情况</w:t>
      </w:r>
    </w:p>
    <w:p>
      <w:pPr>
        <w:adjustRightInd w:val="0"/>
        <w:snapToGrid w:val="0"/>
        <w:spacing w:line="576"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该项目资金由局规划财务科统一进行专项资金财务核算管理，财务管理制度健全、会计核算及账务处理规范，项目执行过程中，严格执行财务管理制度，保证了专款专用。</w:t>
      </w:r>
    </w:p>
    <w:p>
      <w:pPr>
        <w:adjustRightInd w:val="0"/>
        <w:snapToGrid w:val="0"/>
        <w:spacing w:line="576" w:lineRule="exact"/>
        <w:ind w:firstLine="720"/>
        <w:outlineLvl w:val="2"/>
        <w:rPr>
          <w:rFonts w:ascii="楷体" w:hAnsi="楷体" w:eastAsia="楷体" w:cs="楷体"/>
          <w:sz w:val="32"/>
          <w:szCs w:val="32"/>
          <w:lang w:val="zh-CN"/>
        </w:rPr>
      </w:pPr>
      <w:r>
        <w:rPr>
          <w:rFonts w:hint="eastAsia" w:ascii="楷体" w:hAnsi="楷体" w:eastAsia="楷体" w:cs="楷体"/>
          <w:sz w:val="32"/>
          <w:szCs w:val="32"/>
          <w:lang w:val="zh-CN"/>
        </w:rPr>
        <w:t>（三）项目组织实施情况</w:t>
      </w:r>
    </w:p>
    <w:p>
      <w:pPr>
        <w:adjustRightInd w:val="0"/>
        <w:snapToGrid w:val="0"/>
        <w:spacing w:line="576" w:lineRule="exact"/>
        <w:ind w:firstLine="720"/>
        <w:rPr>
          <w:rFonts w:ascii="仿宋" w:hAnsi="仿宋" w:eastAsia="仿宋" w:cs="仿宋"/>
          <w:sz w:val="32"/>
          <w:szCs w:val="32"/>
          <w:lang w:val="zh-CN"/>
        </w:rPr>
      </w:pPr>
      <w:r>
        <w:rPr>
          <w:rFonts w:hint="eastAsia" w:ascii="仿宋" w:hAnsi="仿宋" w:eastAsia="仿宋" w:cs="仿宋"/>
          <w:sz w:val="32"/>
          <w:szCs w:val="32"/>
        </w:rPr>
        <w:t>该项目由我局办公室和信息中心共同负责实施。保障中心机房日常稳定供电，保障相关系统正常运行，业务正常开展</w:t>
      </w:r>
      <w:r>
        <w:rPr>
          <w:rFonts w:hint="eastAsia" w:ascii="仿宋" w:hAnsi="仿宋" w:eastAsia="仿宋" w:cs="仿宋"/>
          <w:sz w:val="32"/>
          <w:szCs w:val="32"/>
          <w:lang w:val="zh-CN"/>
        </w:rPr>
        <w:t>。</w:t>
      </w:r>
    </w:p>
    <w:p>
      <w:pPr>
        <w:adjustRightInd w:val="0"/>
        <w:snapToGrid w:val="0"/>
        <w:spacing w:line="576" w:lineRule="exact"/>
        <w:ind w:firstLine="720"/>
        <w:outlineLvl w:val="1"/>
        <w:rPr>
          <w:rFonts w:ascii="仿宋" w:hAnsi="仿宋" w:eastAsia="仿宋" w:cs="仿宋"/>
          <w:sz w:val="32"/>
          <w:szCs w:val="32"/>
          <w:lang w:val="zh-CN"/>
        </w:rPr>
      </w:pPr>
      <w:bookmarkStart w:id="100" w:name="_Toc24663"/>
      <w:bookmarkStart w:id="101" w:name="_Toc20193"/>
      <w:r>
        <w:rPr>
          <w:rFonts w:hint="eastAsia" w:ascii="黑体" w:hAnsi="黑体" w:eastAsia="黑体" w:cs="黑体"/>
          <w:sz w:val="32"/>
          <w:szCs w:val="32"/>
        </w:rPr>
        <w:t>三、项目绩效情况</w:t>
      </w:r>
      <w:bookmarkEnd w:id="100"/>
      <w:bookmarkEnd w:id="101"/>
      <w:r>
        <w:rPr>
          <w:rFonts w:hint="eastAsia" w:ascii="仿宋" w:hAnsi="仿宋" w:eastAsia="仿宋" w:cs="仿宋"/>
          <w:sz w:val="32"/>
          <w:szCs w:val="32"/>
          <w:lang w:val="zh-CN"/>
        </w:rPr>
        <w:tab/>
      </w:r>
    </w:p>
    <w:p>
      <w:pPr>
        <w:adjustRightInd w:val="0"/>
        <w:snapToGrid w:val="0"/>
        <w:spacing w:line="576" w:lineRule="exact"/>
        <w:ind w:firstLine="720"/>
        <w:outlineLvl w:val="2"/>
        <w:rPr>
          <w:rFonts w:ascii="楷体" w:hAnsi="楷体" w:eastAsia="楷体" w:cs="楷体"/>
          <w:sz w:val="32"/>
          <w:szCs w:val="32"/>
          <w:lang w:val="zh-CN"/>
        </w:rPr>
      </w:pPr>
      <w:r>
        <w:rPr>
          <w:rFonts w:hint="eastAsia" w:ascii="楷体" w:hAnsi="楷体" w:eastAsia="楷体" w:cs="楷体"/>
          <w:sz w:val="32"/>
          <w:szCs w:val="32"/>
          <w:lang w:val="zh-CN"/>
        </w:rPr>
        <w:t>（一）项目完成情况</w:t>
      </w:r>
    </w:p>
    <w:p>
      <w:pPr>
        <w:adjustRightInd w:val="0"/>
        <w:snapToGrid w:val="0"/>
        <w:spacing w:line="576" w:lineRule="exact"/>
        <w:ind w:firstLine="720"/>
        <w:rPr>
          <w:rFonts w:ascii="仿宋" w:hAnsi="仿宋" w:eastAsia="仿宋" w:cs="仿宋"/>
          <w:color w:val="FF0000"/>
          <w:sz w:val="32"/>
          <w:szCs w:val="32"/>
          <w:lang w:val="zh-CN"/>
        </w:rPr>
      </w:pPr>
      <w:r>
        <w:rPr>
          <w:rFonts w:hint="eastAsia" w:ascii="仿宋" w:hAnsi="仿宋" w:eastAsia="仿宋" w:cs="仿宋"/>
          <w:sz w:val="32"/>
          <w:szCs w:val="32"/>
        </w:rPr>
        <w:t>截至2021年12月31日，项目完成实施，全年供电基本保持稳定，苍溪县城乡居民养老保险信息系统、就业和社会保障公共服务信息系统备份系统、广元市社保电子档案系统正常运行。</w:t>
      </w:r>
    </w:p>
    <w:p>
      <w:pPr>
        <w:adjustRightInd w:val="0"/>
        <w:snapToGrid w:val="0"/>
        <w:spacing w:line="576" w:lineRule="exact"/>
        <w:ind w:left="420" w:leftChars="200"/>
        <w:outlineLvl w:val="2"/>
        <w:rPr>
          <w:rFonts w:ascii="楷体" w:hAnsi="楷体" w:eastAsia="楷体" w:cs="楷体"/>
          <w:sz w:val="32"/>
          <w:szCs w:val="32"/>
          <w:lang w:val="zh-CN"/>
        </w:rPr>
      </w:pPr>
      <w:r>
        <w:rPr>
          <w:rFonts w:hint="eastAsia" w:ascii="楷体" w:hAnsi="楷体" w:eastAsia="楷体" w:cs="楷体"/>
          <w:sz w:val="32"/>
          <w:szCs w:val="32"/>
        </w:rPr>
        <w:t>（二）</w:t>
      </w:r>
      <w:r>
        <w:rPr>
          <w:rFonts w:hint="eastAsia" w:ascii="楷体" w:hAnsi="楷体" w:eastAsia="楷体" w:cs="楷体"/>
          <w:sz w:val="32"/>
          <w:szCs w:val="32"/>
          <w:lang w:val="zh-CN"/>
        </w:rPr>
        <w:t>项目效益情况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金保工程是利用先进的信息技术，以中央、省、市三级网络为依托，支持就业和社会保障业务经办、公共服务、基金监管和宏观决策等核心应用，覆盖全国的统一的劳动和社会保障电子政务工程。苍溪城乡居民养老保险信息系统、就业和社会保障公共服务信息系统备份系统、广元市社保电子档案系统是其中的一部分，它的正常运行，将实在的惠及我市200多万人民群众，减少社会保障经办成本，提高社会保障管理水平，堵住管理上的漏洞。</w:t>
      </w:r>
    </w:p>
    <w:p>
      <w:pPr>
        <w:adjustRightInd w:val="0"/>
        <w:snapToGrid w:val="0"/>
        <w:spacing w:line="576" w:lineRule="exact"/>
        <w:ind w:firstLine="720"/>
        <w:outlineLvl w:val="1"/>
        <w:rPr>
          <w:rFonts w:ascii="黑体" w:hAnsi="黑体" w:eastAsia="黑体" w:cs="黑体"/>
          <w:sz w:val="32"/>
          <w:szCs w:val="32"/>
        </w:rPr>
      </w:pPr>
      <w:bookmarkStart w:id="102" w:name="_Toc23475"/>
      <w:bookmarkStart w:id="103" w:name="_Toc614"/>
      <w:r>
        <w:rPr>
          <w:rFonts w:hint="eastAsia" w:ascii="黑体" w:hAnsi="黑体" w:eastAsia="黑体" w:cs="黑体"/>
          <w:sz w:val="32"/>
          <w:szCs w:val="32"/>
        </w:rPr>
        <w:t>四、问题及建议</w:t>
      </w:r>
      <w:bookmarkEnd w:id="102"/>
      <w:bookmarkEnd w:id="103"/>
    </w:p>
    <w:p>
      <w:pPr>
        <w:adjustRightInd w:val="0"/>
        <w:snapToGrid w:val="0"/>
        <w:spacing w:line="576"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（一）存在的问题</w:t>
      </w:r>
    </w:p>
    <w:p>
      <w:pPr>
        <w:spacing w:line="576"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部分配套设备老化，可能会加大用电量。</w:t>
      </w:r>
    </w:p>
    <w:p>
      <w:pPr>
        <w:adjustRightInd w:val="0"/>
        <w:snapToGrid w:val="0"/>
        <w:spacing w:line="576" w:lineRule="exact"/>
        <w:ind w:firstLine="640" w:firstLineChars="200"/>
        <w:outlineLvl w:val="2"/>
        <w:rPr>
          <w:rFonts w:ascii="楷体" w:hAnsi="楷体" w:eastAsia="楷体" w:cs="楷体"/>
          <w:sz w:val="32"/>
          <w:szCs w:val="32"/>
          <w:lang w:val="zh-CN"/>
        </w:rPr>
      </w:pPr>
      <w:r>
        <w:rPr>
          <w:rFonts w:hint="eastAsia" w:ascii="楷体" w:hAnsi="楷体" w:eastAsia="楷体" w:cs="楷体"/>
          <w:sz w:val="32"/>
          <w:szCs w:val="32"/>
          <w:lang w:val="zh-CN"/>
        </w:rPr>
        <w:t>（二）相关建议</w:t>
      </w:r>
    </w:p>
    <w:p>
      <w:pPr>
        <w:adjustRightInd w:val="0"/>
        <w:snapToGrid w:val="0"/>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建议将现存的信息系统以购买服务的方式委托第三方管理，保障系统运行安全、稳定，节约运维成本。</w:t>
      </w:r>
    </w:p>
    <w:p>
      <w:pPr>
        <w:rPr>
          <w:rFonts w:ascii="仿宋" w:hAnsi="仿宋" w:eastAsia="仿宋" w:cs="仿宋"/>
          <w:sz w:val="32"/>
          <w:szCs w:val="32"/>
        </w:rPr>
      </w:pPr>
      <w:r>
        <w:rPr>
          <w:rFonts w:hint="eastAsia"/>
        </w:rPr>
        <w:br w:type="page"/>
      </w:r>
    </w:p>
    <w:p>
      <w:pPr>
        <w:spacing w:line="600" w:lineRule="exact"/>
        <w:jc w:val="center"/>
        <w:rPr>
          <w:rFonts w:ascii="方正小标宋简体" w:hAnsi="方正小标宋简体" w:eastAsia="方正小标宋简体" w:cs="方正小标宋简体"/>
          <w:sz w:val="32"/>
          <w:szCs w:val="32"/>
          <w:lang w:val="zh-CN"/>
        </w:rPr>
      </w:pPr>
      <w:r>
        <w:rPr>
          <w:rFonts w:hint="eastAsia" w:ascii="方正小标宋简体" w:hAnsi="方正小标宋简体" w:eastAsia="方正小标宋简体" w:cs="方正小标宋简体"/>
          <w:spacing w:val="-20"/>
          <w:sz w:val="44"/>
          <w:szCs w:val="44"/>
        </w:rPr>
        <w:t>2021年</w:t>
      </w:r>
      <w:r>
        <w:rPr>
          <w:rFonts w:hint="eastAsia" w:ascii="方正小标宋简体" w:hAnsi="方正小标宋简体" w:eastAsia="方正小标宋简体" w:cs="方正小标宋简体"/>
          <w:spacing w:val="-20"/>
          <w:sz w:val="44"/>
          <w:szCs w:val="44"/>
          <w:lang w:val="zh-CN"/>
        </w:rPr>
        <w:t>专项预算项目支出绩效自评报</w:t>
      </w:r>
      <w:r>
        <w:rPr>
          <w:rFonts w:hint="eastAsia" w:ascii="方正小标宋简体" w:hAnsi="方正小标宋简体" w:eastAsia="方正小标宋简体" w:cs="方正小标宋简体"/>
          <w:spacing w:val="-20"/>
          <w:sz w:val="44"/>
          <w:szCs w:val="44"/>
        </w:rPr>
        <w:t>告</w:t>
      </w:r>
      <w:r>
        <w:rPr>
          <w:rFonts w:hint="eastAsia" w:ascii="方正小标宋简体" w:hAnsi="方正小标宋简体" w:eastAsia="方正小标宋简体" w:cs="方正小标宋简体"/>
          <w:spacing w:val="-20"/>
          <w:sz w:val="44"/>
          <w:szCs w:val="44"/>
          <w:lang w:val="zh-CN"/>
        </w:rPr>
        <w:t>（三）</w:t>
      </w:r>
    </w:p>
    <w:p>
      <w:pPr>
        <w:spacing w:line="560" w:lineRule="exact"/>
        <w:jc w:val="center"/>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w:t>
      </w:r>
      <w:r>
        <w:rPr>
          <w:rFonts w:hint="eastAsia" w:ascii="仿宋_GB2312" w:hAnsi="楷体" w:eastAsia="仿宋_GB2312" w:cs="楷体_GB2312"/>
          <w:sz w:val="32"/>
          <w:szCs w:val="32"/>
        </w:rPr>
        <w:t>依法行政工作经费</w:t>
      </w:r>
      <w:r>
        <w:rPr>
          <w:rFonts w:hint="eastAsia" w:ascii="仿宋_GB2312" w:eastAsia="仿宋_GB2312" w:cs="仿宋_GB2312"/>
          <w:kern w:val="0"/>
          <w:sz w:val="32"/>
          <w:szCs w:val="32"/>
          <w:lang w:val="zh-CN"/>
        </w:rPr>
        <w:t>项目）</w:t>
      </w:r>
    </w:p>
    <w:p>
      <w:pPr>
        <w:adjustRightInd w:val="0"/>
        <w:snapToGrid w:val="0"/>
        <w:spacing w:line="580" w:lineRule="exact"/>
        <w:ind w:firstLine="640" w:firstLineChars="200"/>
        <w:rPr>
          <w:rFonts w:ascii="黑体" w:hAnsi="黑体" w:eastAsia="黑体" w:cs="方正黑体_GBK"/>
          <w:sz w:val="32"/>
          <w:szCs w:val="32"/>
          <w:lang w:val="zh-CN"/>
        </w:rPr>
      </w:pPr>
    </w:p>
    <w:p>
      <w:pPr>
        <w:adjustRightInd w:val="0"/>
        <w:snapToGrid w:val="0"/>
        <w:spacing w:line="580" w:lineRule="exact"/>
        <w:ind w:firstLine="640" w:firstLineChars="200"/>
        <w:outlineLvl w:val="1"/>
        <w:rPr>
          <w:rFonts w:ascii="黑体" w:hAnsi="黑体" w:eastAsia="黑体" w:cs="方正黑体_GBK"/>
          <w:sz w:val="32"/>
          <w:szCs w:val="32"/>
          <w:lang w:val="zh-CN"/>
        </w:rPr>
      </w:pPr>
      <w:bookmarkStart w:id="104" w:name="_Toc4029"/>
      <w:bookmarkStart w:id="105" w:name="_Toc29859"/>
      <w:r>
        <w:rPr>
          <w:rFonts w:hint="eastAsia" w:ascii="黑体" w:hAnsi="黑体" w:eastAsia="黑体" w:cs="方正黑体_GBK"/>
          <w:sz w:val="32"/>
          <w:szCs w:val="32"/>
          <w:lang w:val="zh-CN"/>
        </w:rPr>
        <w:t>一、项目概况</w:t>
      </w:r>
      <w:bookmarkEnd w:id="104"/>
      <w:bookmarkEnd w:id="105"/>
    </w:p>
    <w:p>
      <w:pPr>
        <w:spacing w:line="576" w:lineRule="exact"/>
        <w:ind w:firstLine="640" w:firstLineChars="200"/>
        <w:rPr>
          <w:rFonts w:ascii="仿宋_GB2312" w:hAnsi="方正黑体_GBK" w:eastAsia="仿宋_GB2312" w:cs="方正黑体_GBK"/>
          <w:sz w:val="32"/>
          <w:szCs w:val="32"/>
          <w:lang w:val="zh-CN"/>
        </w:rPr>
      </w:pPr>
      <w:r>
        <w:rPr>
          <w:rFonts w:hint="eastAsia" w:ascii="仿宋_GB2312" w:hAnsi="方正黑体_GBK" w:eastAsia="仿宋_GB2312" w:cs="方正黑体_GBK"/>
          <w:sz w:val="32"/>
          <w:szCs w:val="32"/>
          <w:lang w:val="zh-CN"/>
        </w:rPr>
        <w:t>根据《四川省人力资源和社会保障厅关于进一步加强新形势下行政复议和行政应诉工作的意见》（川人社办发〔2016〕4号）第七条第一款“要将复议应诉工作所需经费列入本部门的经费预算，为开展复议应诉工作提供相应的场地、设备、交通等工作条件”立项。此项目是为了保障行政复议应诉工作顺利开展。</w:t>
      </w:r>
    </w:p>
    <w:p>
      <w:pPr>
        <w:spacing w:line="576" w:lineRule="exact"/>
        <w:ind w:firstLine="640" w:firstLineChars="200"/>
        <w:outlineLvl w:val="2"/>
        <w:rPr>
          <w:rFonts w:ascii="楷体" w:hAnsi="楷体" w:eastAsia="楷体"/>
          <w:sz w:val="32"/>
          <w:szCs w:val="32"/>
        </w:rPr>
      </w:pPr>
      <w:r>
        <w:rPr>
          <w:rFonts w:hint="eastAsia" w:ascii="楷体" w:hAnsi="楷体" w:eastAsia="楷体"/>
          <w:sz w:val="32"/>
          <w:szCs w:val="32"/>
        </w:rPr>
        <w:t>（一）项目资金申报及批复情况</w:t>
      </w:r>
    </w:p>
    <w:p>
      <w:pPr>
        <w:spacing w:line="576" w:lineRule="exact"/>
        <w:ind w:firstLine="640" w:firstLineChars="200"/>
        <w:rPr>
          <w:rFonts w:ascii="仿宋_GB2312" w:hAnsi="方正黑体_GBK" w:eastAsia="仿宋_GB2312" w:cs="方正黑体_GBK"/>
          <w:sz w:val="32"/>
          <w:szCs w:val="32"/>
          <w:lang w:val="zh-CN"/>
        </w:rPr>
      </w:pPr>
      <w:r>
        <w:rPr>
          <w:rFonts w:hint="eastAsia" w:ascii="仿宋_GB2312" w:hAnsi="方正黑体_GBK" w:eastAsia="仿宋_GB2312" w:cs="方正黑体_GBK"/>
          <w:sz w:val="32"/>
          <w:szCs w:val="32"/>
          <w:lang w:val="zh-CN"/>
        </w:rPr>
        <w:t>经市八届人大二次会议审查批准及市财政局批复，年初预算依法行政工作项目经费8万元。</w:t>
      </w:r>
    </w:p>
    <w:p>
      <w:pPr>
        <w:numPr>
          <w:ilvl w:val="0"/>
          <w:numId w:val="6"/>
        </w:num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项目绩效目标</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聘请法律顾问团队</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val="zh-CN"/>
        </w:rPr>
        <w:t>，完成全年所有行政复议案件，预计开展行政复议和行政应诉</w:t>
      </w:r>
      <w:r>
        <w:rPr>
          <w:rFonts w:hint="eastAsia" w:ascii="仿宋_GB2312" w:hAnsi="仿宋_GB2312" w:eastAsia="仿宋_GB2312" w:cs="仿宋_GB2312"/>
          <w:sz w:val="32"/>
          <w:szCs w:val="32"/>
        </w:rPr>
        <w:t>100件以上</w:t>
      </w:r>
      <w:r>
        <w:rPr>
          <w:rFonts w:hint="eastAsia" w:ascii="仿宋_GB2312" w:hAnsi="仿宋_GB2312" w:eastAsia="仿宋_GB2312" w:cs="仿宋_GB2312"/>
          <w:sz w:val="32"/>
          <w:szCs w:val="32"/>
          <w:lang w:val="zh-CN"/>
        </w:rPr>
        <w:t>。</w:t>
      </w:r>
    </w:p>
    <w:p>
      <w:pPr>
        <w:numPr>
          <w:ilvl w:val="0"/>
          <w:numId w:val="6"/>
        </w:num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项目资金申报相符性</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项目申报内容与具体实施内容基本相符、申报目标合理可行。</w:t>
      </w:r>
    </w:p>
    <w:p>
      <w:pPr>
        <w:adjustRightInd w:val="0"/>
        <w:snapToGrid w:val="0"/>
        <w:spacing w:line="580" w:lineRule="exact"/>
        <w:ind w:firstLine="640" w:firstLineChars="200"/>
        <w:outlineLvl w:val="1"/>
        <w:rPr>
          <w:rFonts w:ascii="黑体" w:hAnsi="黑体" w:eastAsia="黑体" w:cs="方正黑体_GBK"/>
          <w:sz w:val="32"/>
          <w:szCs w:val="32"/>
          <w:lang w:val="zh-CN"/>
        </w:rPr>
      </w:pPr>
      <w:bookmarkStart w:id="106" w:name="_Toc6924"/>
      <w:bookmarkStart w:id="107" w:name="_Toc8860"/>
      <w:r>
        <w:rPr>
          <w:rFonts w:hint="eastAsia" w:ascii="黑体" w:hAnsi="黑体" w:eastAsia="黑体" w:cs="方正黑体_GBK"/>
          <w:sz w:val="32"/>
          <w:szCs w:val="32"/>
          <w:lang w:val="zh-CN"/>
        </w:rPr>
        <w:t>二、项目实施及管理情况</w:t>
      </w:r>
      <w:bookmarkEnd w:id="106"/>
      <w:bookmarkEnd w:id="107"/>
    </w:p>
    <w:p>
      <w:pPr>
        <w:adjustRightInd w:val="0"/>
        <w:snapToGrid w:val="0"/>
        <w:spacing w:line="580" w:lineRule="exact"/>
        <w:ind w:left="643"/>
        <w:outlineLvl w:val="2"/>
        <w:rPr>
          <w:rFonts w:ascii="楷体" w:hAnsi="楷体" w:eastAsia="楷体" w:cs="仿宋_GB2312"/>
          <w:b/>
          <w:sz w:val="32"/>
          <w:szCs w:val="32"/>
          <w:lang w:val="zh-CN"/>
        </w:rPr>
      </w:pPr>
      <w:r>
        <w:rPr>
          <w:rFonts w:hint="eastAsia" w:ascii="楷体" w:hAnsi="楷体" w:eastAsia="楷体"/>
          <w:sz w:val="32"/>
          <w:szCs w:val="32"/>
        </w:rPr>
        <w:t>（一）资金计划、到位及使用情况</w:t>
      </w:r>
    </w:p>
    <w:p>
      <w:pPr>
        <w:adjustRightInd w:val="0"/>
        <w:snapToGrid w:val="0"/>
        <w:spacing w:line="580" w:lineRule="exact"/>
        <w:ind w:firstLine="640" w:firstLineChars="200"/>
        <w:outlineLvl w:val="3"/>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此项目属于常规工作经费项目，财务用一般公共预算资金安排</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万元。</w:t>
      </w:r>
    </w:p>
    <w:p>
      <w:pPr>
        <w:adjustRightInd w:val="0"/>
        <w:snapToGrid w:val="0"/>
        <w:spacing w:line="580" w:lineRule="exact"/>
        <w:ind w:firstLine="640" w:firstLineChars="200"/>
        <w:outlineLvl w:val="3"/>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资金到位</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截至202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年12月31日，此项目到位资金</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万元，100%到位，此资金属于市级一般公共预算资金。</w:t>
      </w:r>
    </w:p>
    <w:p>
      <w:pPr>
        <w:adjustRightInd w:val="0"/>
        <w:snapToGrid w:val="0"/>
        <w:spacing w:line="580" w:lineRule="exact"/>
        <w:ind w:firstLine="640" w:firstLineChars="200"/>
        <w:outlineLvl w:val="3"/>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资金使用</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截至评价日共支付</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万元，包括聘请法律顾问费、开展行政复议和行政应诉工作相关调查差旅费、租车费及材料印制费用等。</w:t>
      </w:r>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（二）项目财务管理情况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该项目资金由局规划财务科统一进行专项资金财务核算管理，财务管理制度健全、会计核算及账务处理规范，项目执行过程中，严格执行财务管理制度，保证了专款专用。</w:t>
      </w:r>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（三）项目组织实施情况</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依法行政工作经费项目属于财政下达的常规性一般公共预算项目，由政策法规科负责实施，资金专门保障用于政策法规科</w:t>
      </w:r>
      <w:r>
        <w:rPr>
          <w:rFonts w:hint="eastAsia" w:ascii="仿宋_GB2312" w:hAnsi="方正黑体_GBK" w:eastAsia="仿宋_GB2312" w:cs="方正黑体_GBK"/>
          <w:sz w:val="32"/>
          <w:szCs w:val="32"/>
          <w:lang w:val="zh-CN"/>
        </w:rPr>
        <w:t>开展复议应诉工作提供相应的场地、设备、交通等费用开支。</w:t>
      </w:r>
    </w:p>
    <w:p>
      <w:pPr>
        <w:adjustRightInd w:val="0"/>
        <w:snapToGrid w:val="0"/>
        <w:spacing w:line="580" w:lineRule="exact"/>
        <w:ind w:firstLine="640" w:firstLineChars="200"/>
        <w:outlineLvl w:val="1"/>
        <w:rPr>
          <w:rFonts w:ascii="黑体" w:hAnsi="黑体" w:eastAsia="黑体" w:cs="方正黑体_GBK"/>
          <w:sz w:val="32"/>
          <w:szCs w:val="32"/>
          <w:lang w:val="zh-CN"/>
        </w:rPr>
      </w:pPr>
      <w:bookmarkStart w:id="108" w:name="_Toc8402"/>
      <w:bookmarkStart w:id="109" w:name="_Toc7688"/>
      <w:r>
        <w:rPr>
          <w:rFonts w:hint="eastAsia" w:ascii="黑体" w:hAnsi="黑体" w:eastAsia="黑体" w:cs="方正黑体_GBK"/>
          <w:sz w:val="32"/>
          <w:szCs w:val="32"/>
          <w:lang w:val="zh-CN"/>
        </w:rPr>
        <w:t>三、项目绩效情况</w:t>
      </w:r>
      <w:bookmarkEnd w:id="108"/>
      <w:bookmarkEnd w:id="109"/>
      <w:r>
        <w:rPr>
          <w:rFonts w:hint="eastAsia" w:ascii="黑体" w:hAnsi="黑体" w:eastAsia="黑体" w:cs="方正黑体_GBK"/>
          <w:sz w:val="32"/>
          <w:szCs w:val="32"/>
          <w:lang w:val="zh-CN"/>
        </w:rPr>
        <w:tab/>
      </w:r>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（一）项目完成情况</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年12月31日，聘请律师</w:t>
      </w:r>
      <w:r>
        <w:rPr>
          <w:rFonts w:hint="eastAsia" w:ascii="仿宋_GB2312" w:hAnsi="仿宋_GB2312" w:eastAsia="仿宋_GB2312" w:cs="仿宋_GB2312"/>
          <w:sz w:val="32"/>
          <w:szCs w:val="32"/>
        </w:rPr>
        <w:t>1名，开展行政复议和行政应诉68件，按质按量完成全年行政复议案件。为我局依法行政、重大行政决策提供了科学合理的法律支撑，为保障企业和劳动者权益提供了法律保障。通过行政复议和行政应诉切实有效的促进依法行政工作高质量发展。</w:t>
      </w:r>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（二）项目效益情况</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产生的经济效益是最大限度减少国家和人民群众的财产损失，遏制违法行政导致的行政赔偿。社会效益：保护企业和劳动者权益，维护社会和谐稳定。可持续效益：无违规违决策行为和行政行为，深入推进人社依法行政工作。</w:t>
      </w:r>
    </w:p>
    <w:p>
      <w:pPr>
        <w:adjustRightInd w:val="0"/>
        <w:snapToGrid w:val="0"/>
        <w:spacing w:line="580" w:lineRule="exact"/>
        <w:ind w:firstLine="640" w:firstLineChars="200"/>
        <w:outlineLvl w:val="1"/>
        <w:rPr>
          <w:rFonts w:ascii="方正黑体_GBK" w:hAnsi="方正黑体_GBK" w:eastAsia="方正黑体_GBK" w:cs="方正黑体_GBK"/>
          <w:sz w:val="32"/>
          <w:szCs w:val="32"/>
          <w:lang w:val="zh-CN"/>
        </w:rPr>
      </w:pPr>
      <w:bookmarkStart w:id="110" w:name="_Toc5322"/>
      <w:bookmarkStart w:id="111" w:name="_Toc2879"/>
      <w:r>
        <w:rPr>
          <w:rFonts w:hint="eastAsia" w:ascii="方正黑体_GBK" w:hAnsi="方正黑体_GBK" w:eastAsia="方正黑体_GBK" w:cs="方正黑体_GBK"/>
          <w:sz w:val="32"/>
          <w:szCs w:val="32"/>
          <w:lang w:val="zh-CN"/>
        </w:rPr>
        <w:t>四、问题及建议</w:t>
      </w:r>
      <w:bookmarkEnd w:id="110"/>
      <w:bookmarkEnd w:id="111"/>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（一）存在的问题</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主要问题是人社行政争议处理案件呈现案多、量大、人手不足。</w:t>
      </w:r>
    </w:p>
    <w:p>
      <w:pPr>
        <w:adjustRightInd w:val="0"/>
        <w:snapToGrid w:val="0"/>
        <w:spacing w:line="580" w:lineRule="exact"/>
        <w:ind w:firstLine="640" w:firstLineChars="200"/>
        <w:outlineLvl w:val="2"/>
        <w:rPr>
          <w:rFonts w:ascii="楷体" w:hAnsi="楷体" w:eastAsia="楷体"/>
          <w:sz w:val="32"/>
          <w:szCs w:val="32"/>
        </w:rPr>
      </w:pPr>
      <w:r>
        <w:rPr>
          <w:rFonts w:hint="eastAsia" w:ascii="楷体" w:hAnsi="楷体" w:eastAsia="楷体"/>
          <w:sz w:val="32"/>
          <w:szCs w:val="32"/>
        </w:rPr>
        <w:t>（二）相关建议</w:t>
      </w:r>
    </w:p>
    <w:p>
      <w:pPr>
        <w:adjustRightInd w:val="0"/>
        <w:snapToGrid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建议行政应诉案件按仲裁案件标准对办案人员核发补贴。</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2.对法治宣传的经费按实际发生情况予以保障。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3.对年度计划外的依法行政事项予以额外追加经费。</w:t>
      </w:r>
    </w:p>
    <w:p>
      <w:r>
        <w:rPr>
          <w:rFonts w:hint="eastAsia"/>
        </w:rPr>
        <w:br w:type="page"/>
      </w:r>
    </w:p>
    <w:p>
      <w:pPr>
        <w:pStyle w:val="36"/>
        <w:spacing w:line="576"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2021年</w:t>
      </w:r>
      <w:r>
        <w:rPr>
          <w:rFonts w:hint="eastAsia" w:ascii="方正小标宋简体" w:hAnsi="宋体" w:eastAsia="方正小标宋简体"/>
          <w:sz w:val="44"/>
          <w:szCs w:val="44"/>
        </w:rPr>
        <w:t>专项预算项目支出绩效自评报告（</w:t>
      </w:r>
      <w:r>
        <w:rPr>
          <w:rFonts w:hint="eastAsia" w:ascii="方正小标宋简体" w:hAnsi="宋体" w:eastAsia="方正小标宋简体"/>
          <w:sz w:val="44"/>
          <w:szCs w:val="44"/>
          <w:lang w:val="en-US"/>
        </w:rPr>
        <w:t>四</w:t>
      </w:r>
      <w:r>
        <w:rPr>
          <w:rFonts w:hint="eastAsia" w:ascii="方正小标宋简体" w:hAnsi="宋体" w:eastAsia="方正小标宋简体"/>
          <w:sz w:val="44"/>
          <w:szCs w:val="44"/>
        </w:rPr>
        <w:t>）</w:t>
      </w:r>
    </w:p>
    <w:p>
      <w:pPr>
        <w:adjustRightInd w:val="0"/>
        <w:snapToGrid w:val="0"/>
        <w:spacing w:line="576" w:lineRule="exac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（技能大师工作室、技工院校教师职称、培训结构设立、变更工种、地址等评审经费项目）</w:t>
      </w:r>
    </w:p>
    <w:p>
      <w:pPr>
        <w:pStyle w:val="36"/>
        <w:spacing w:line="576" w:lineRule="exact"/>
        <w:ind w:firstLine="640"/>
        <w:jc w:val="center"/>
        <w:rPr>
          <w:rFonts w:ascii="宋体" w:hAnsi="宋体"/>
          <w:color w:val="auto"/>
          <w:kern w:val="2"/>
          <w:sz w:val="32"/>
          <w:szCs w:val="32"/>
        </w:rPr>
      </w:pPr>
    </w:p>
    <w:p>
      <w:pPr>
        <w:adjustRightInd w:val="0"/>
        <w:snapToGrid w:val="0"/>
        <w:spacing w:line="576" w:lineRule="exact"/>
        <w:ind w:firstLine="720"/>
        <w:outlineLvl w:val="1"/>
        <w:rPr>
          <w:rFonts w:ascii="黑体" w:hAnsi="黑体" w:eastAsia="黑体" w:cs="黑体"/>
          <w:b/>
          <w:bCs/>
          <w:sz w:val="32"/>
          <w:szCs w:val="32"/>
          <w:lang w:val="zh-CN"/>
        </w:rPr>
      </w:pPr>
      <w:bookmarkStart w:id="112" w:name="_Toc30754"/>
      <w:r>
        <w:rPr>
          <w:rFonts w:hint="eastAsia" w:ascii="黑体" w:hAnsi="黑体" w:eastAsia="黑体" w:cs="黑体"/>
          <w:b/>
          <w:bCs/>
          <w:sz w:val="32"/>
          <w:szCs w:val="32"/>
        </w:rPr>
        <w:t>一、</w:t>
      </w:r>
      <w:r>
        <w:rPr>
          <w:rFonts w:hint="eastAsia" w:ascii="黑体" w:hAnsi="黑体" w:eastAsia="黑体" w:cs="黑体"/>
          <w:b/>
          <w:bCs/>
          <w:sz w:val="32"/>
          <w:szCs w:val="32"/>
          <w:lang w:val="zh-CN"/>
        </w:rPr>
        <w:t>项目概况</w:t>
      </w:r>
      <w:bookmarkEnd w:id="112"/>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（一）项目资金申报及批复情况</w:t>
      </w:r>
    </w:p>
    <w:p>
      <w:pPr>
        <w:adjustRightInd w:val="0"/>
        <w:snapToGrid w:val="0"/>
        <w:spacing w:line="576" w:lineRule="exact"/>
        <w:ind w:firstLine="720"/>
        <w:rPr>
          <w:rFonts w:ascii="仿宋_GB2312" w:hAnsi="仿宋_GB2312" w:eastAsia="仿宋_GB2312" w:cs="仿宋_GB2312"/>
          <w:spacing w:val="-6"/>
          <w:sz w:val="32"/>
          <w:szCs w:val="32"/>
          <w:lang w:val="zh-CN"/>
        </w:rPr>
      </w:pPr>
      <w:r>
        <w:rPr>
          <w:rFonts w:hint="eastAsia" w:ascii="仿宋_GB2312" w:hAnsi="仿宋_GB2312" w:eastAsia="仿宋_GB2312" w:cs="仿宋_GB2312"/>
          <w:spacing w:val="-6"/>
          <w:sz w:val="32"/>
          <w:szCs w:val="32"/>
        </w:rPr>
        <w:t>2021年，我局申报</w:t>
      </w:r>
      <w:r>
        <w:rPr>
          <w:rFonts w:hint="eastAsia" w:ascii="仿宋_GB2312" w:hAnsi="仿宋_GB2312" w:eastAsia="仿宋_GB2312" w:cs="仿宋_GB2312"/>
          <w:spacing w:val="-6"/>
          <w:sz w:val="32"/>
          <w:szCs w:val="32"/>
          <w:lang w:val="zh-CN"/>
        </w:rPr>
        <w:t>技能大师工作室、技工院校教师职称、培训结构设立、变更工种、地址等评审经费</w:t>
      </w:r>
      <w:r>
        <w:rPr>
          <w:rFonts w:hint="eastAsia" w:ascii="仿宋_GB2312" w:hAnsi="仿宋_GB2312" w:eastAsia="仿宋_GB2312" w:cs="仿宋_GB2312"/>
          <w:spacing w:val="-6"/>
          <w:sz w:val="32"/>
          <w:szCs w:val="32"/>
        </w:rPr>
        <w:t>8万元，财政批复该项目经费8万元。该项目</w:t>
      </w:r>
      <w:r>
        <w:rPr>
          <w:rFonts w:hint="eastAsia" w:ascii="仿宋_GB2312" w:hAnsi="仿宋_GB2312" w:eastAsia="仿宋_GB2312" w:cs="仿宋_GB2312"/>
          <w:spacing w:val="-6"/>
          <w:sz w:val="32"/>
          <w:szCs w:val="32"/>
          <w:lang w:val="zh-CN"/>
        </w:rPr>
        <w:t>符合资金管理办法等相关规定。</w:t>
      </w:r>
    </w:p>
    <w:p>
      <w:pPr>
        <w:numPr>
          <w:ilvl w:val="0"/>
          <w:numId w:val="7"/>
        </w:num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项目绩效目标</w:t>
      </w:r>
    </w:p>
    <w:p>
      <w:pPr>
        <w:adjustRightInd w:val="0"/>
        <w:snapToGrid w:val="0"/>
        <w:spacing w:line="576"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该项目主要用于技能大师工作室、技工院校教师职称、培训结构设立、变更工种、地址等日常业务工作。2021年，已开展</w:t>
      </w:r>
      <w:r>
        <w:rPr>
          <w:rFonts w:hint="eastAsia" w:ascii="仿宋_GB2312" w:hAnsi="仿宋_GB2312" w:eastAsia="仿宋_GB2312" w:cs="仿宋_GB2312"/>
          <w:sz w:val="32"/>
          <w:szCs w:val="32"/>
          <w:lang w:val="zh-CN"/>
        </w:rPr>
        <w:t>技能大师工作室</w:t>
      </w:r>
      <w:r>
        <w:rPr>
          <w:rFonts w:hint="eastAsia" w:ascii="仿宋_GB2312" w:hAnsi="仿宋_GB2312" w:eastAsia="仿宋_GB2312" w:cs="仿宋_GB2312"/>
          <w:sz w:val="32"/>
          <w:szCs w:val="32"/>
        </w:rPr>
        <w:t>评审1次，</w:t>
      </w:r>
      <w:r>
        <w:rPr>
          <w:rFonts w:hint="eastAsia" w:ascii="仿宋_GB2312" w:hAnsi="仿宋_GB2312" w:eastAsia="仿宋_GB2312" w:cs="仿宋_GB2312"/>
          <w:sz w:val="32"/>
          <w:szCs w:val="32"/>
          <w:lang w:val="zh-CN"/>
        </w:rPr>
        <w:t>技工院校教师职称</w:t>
      </w:r>
      <w:r>
        <w:rPr>
          <w:rFonts w:hint="eastAsia" w:ascii="仿宋_GB2312" w:hAnsi="仿宋_GB2312" w:eastAsia="仿宋_GB2312" w:cs="仿宋_GB2312"/>
          <w:sz w:val="32"/>
          <w:szCs w:val="32"/>
        </w:rPr>
        <w:t>评审1次，</w:t>
      </w:r>
      <w:r>
        <w:rPr>
          <w:rFonts w:hint="eastAsia" w:ascii="仿宋_GB2312" w:hAnsi="仿宋_GB2312" w:eastAsia="仿宋_GB2312" w:cs="仿宋_GB2312"/>
          <w:w w:val="90"/>
          <w:sz w:val="32"/>
          <w:szCs w:val="32"/>
        </w:rPr>
        <w:t>培训结构设立、变更工种、地址</w:t>
      </w:r>
      <w:r>
        <w:rPr>
          <w:rFonts w:hint="eastAsia" w:ascii="仿宋_GB2312" w:hAnsi="仿宋_GB2312" w:eastAsia="仿宋_GB2312" w:cs="仿宋_GB2312"/>
          <w:sz w:val="32"/>
          <w:szCs w:val="32"/>
        </w:rPr>
        <w:t>等审批工作10次。</w:t>
      </w:r>
    </w:p>
    <w:p>
      <w:pPr>
        <w:numPr>
          <w:ilvl w:val="0"/>
          <w:numId w:val="7"/>
        </w:num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项目资金申报相符性</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项目资金申报内容与具体实施建设内容相符，项目资金做到了专款专用，申报目标合理可行。</w:t>
      </w:r>
    </w:p>
    <w:p>
      <w:pPr>
        <w:adjustRightInd w:val="0"/>
        <w:snapToGrid w:val="0"/>
        <w:spacing w:line="576" w:lineRule="exact"/>
        <w:ind w:firstLine="720"/>
        <w:outlineLvl w:val="1"/>
        <w:rPr>
          <w:rFonts w:ascii="黑体" w:hAnsi="黑体" w:eastAsia="黑体" w:cs="黑体"/>
          <w:sz w:val="32"/>
          <w:szCs w:val="32"/>
        </w:rPr>
      </w:pPr>
      <w:bookmarkStart w:id="113" w:name="_Toc25670"/>
      <w:r>
        <w:rPr>
          <w:rFonts w:hint="eastAsia" w:ascii="黑体" w:hAnsi="黑体" w:eastAsia="黑体" w:cs="黑体"/>
          <w:sz w:val="32"/>
          <w:szCs w:val="32"/>
        </w:rPr>
        <w:t>二、项目实施及管理情况</w:t>
      </w:r>
      <w:bookmarkEnd w:id="113"/>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ab/>
      </w:r>
      <w:r>
        <w:rPr>
          <w:rFonts w:hint="eastAsia" w:ascii="楷体" w:hAnsi="楷体" w:eastAsia="楷体" w:cs="楷体"/>
          <w:sz w:val="32"/>
          <w:szCs w:val="32"/>
          <w:lang w:val="zh-CN"/>
        </w:rPr>
        <w:t>（一）资金计划、到位及使用情况</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1．资金计划及到位。该项目资金</w:t>
      </w:r>
      <w:r>
        <w:rPr>
          <w:rFonts w:hint="eastAsia" w:ascii="仿宋_GB2312" w:hAnsi="仿宋_GB2312" w:eastAsia="仿宋_GB2312" w:cs="仿宋_GB2312"/>
          <w:sz w:val="32"/>
          <w:szCs w:val="32"/>
        </w:rPr>
        <w:t>已全部到位</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全部为市级</w:t>
      </w:r>
      <w:r>
        <w:rPr>
          <w:rFonts w:hint="eastAsia" w:ascii="仿宋_GB2312" w:hAnsi="仿宋_GB2312" w:eastAsia="仿宋_GB2312" w:cs="仿宋_GB2312"/>
          <w:sz w:val="32"/>
          <w:szCs w:val="32"/>
          <w:lang w:val="zh-CN"/>
        </w:rPr>
        <w:t>财政</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val="zh-CN"/>
        </w:rPr>
        <w:t>资金。资金到位</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zh-CN"/>
        </w:rPr>
        <w:t>资金计划</w:t>
      </w:r>
      <w:r>
        <w:rPr>
          <w:rFonts w:hint="eastAsia" w:ascii="仿宋_GB2312" w:hAnsi="仿宋_GB2312" w:eastAsia="仿宋_GB2312" w:cs="仿宋_GB2312"/>
          <w:sz w:val="32"/>
          <w:szCs w:val="32"/>
        </w:rPr>
        <w:t>一致</w:t>
      </w:r>
      <w:r>
        <w:rPr>
          <w:rFonts w:hint="eastAsia" w:ascii="仿宋_GB2312" w:hAnsi="仿宋_GB2312" w:eastAsia="仿宋_GB2312" w:cs="仿宋_GB2312"/>
          <w:sz w:val="32"/>
          <w:szCs w:val="32"/>
          <w:lang w:val="zh-CN"/>
        </w:rPr>
        <w:t>，资金到位率100%，到位及时率100%。</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2．资金使用。截</w:t>
      </w:r>
      <w:r>
        <w:rPr>
          <w:rFonts w:hint="eastAsia" w:ascii="仿宋_GB2312" w:hAnsi="仿宋_GB2312" w:eastAsia="仿宋_GB2312" w:cs="仿宋_GB2312"/>
          <w:sz w:val="32"/>
          <w:szCs w:val="32"/>
        </w:rPr>
        <w:t>至目前，</w:t>
      </w:r>
      <w:r>
        <w:rPr>
          <w:rFonts w:hint="eastAsia" w:ascii="仿宋_GB2312" w:hAnsi="仿宋_GB2312" w:eastAsia="仿宋_GB2312" w:cs="仿宋_GB2312"/>
          <w:sz w:val="32"/>
          <w:szCs w:val="32"/>
          <w:lang w:val="zh-CN"/>
        </w:rPr>
        <w:t>项目资金</w:t>
      </w:r>
      <w:r>
        <w:rPr>
          <w:rFonts w:hint="eastAsia" w:ascii="仿宋_GB2312" w:hAnsi="仿宋_GB2312" w:eastAsia="仿宋_GB2312" w:cs="仿宋_GB2312"/>
          <w:sz w:val="32"/>
          <w:szCs w:val="32"/>
        </w:rPr>
        <w:t>已支出8万元</w:t>
      </w:r>
      <w:r>
        <w:rPr>
          <w:rFonts w:hint="eastAsia" w:ascii="仿宋_GB2312" w:hAnsi="仿宋_GB2312" w:eastAsia="仿宋_GB2312" w:cs="仿宋_GB2312"/>
          <w:sz w:val="32"/>
          <w:szCs w:val="32"/>
          <w:lang w:val="zh-CN"/>
        </w:rPr>
        <w:t>，资金开支范围、标准</w:t>
      </w:r>
      <w:r>
        <w:rPr>
          <w:rFonts w:hint="eastAsia" w:ascii="仿宋_GB2312" w:hAnsi="仿宋_GB2312" w:eastAsia="仿宋_GB2312" w:cs="仿宋_GB2312"/>
          <w:sz w:val="32"/>
          <w:szCs w:val="32"/>
        </w:rPr>
        <w:t>均严格按照</w:t>
      </w:r>
      <w:r>
        <w:rPr>
          <w:rFonts w:hint="eastAsia" w:ascii="仿宋_GB2312" w:hAnsi="仿宋_GB2312" w:eastAsia="仿宋_GB2312" w:cs="仿宋_GB2312"/>
          <w:sz w:val="32"/>
          <w:szCs w:val="32"/>
          <w:lang w:val="zh-CN"/>
        </w:rPr>
        <w:t>国家、省、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zh-CN"/>
        </w:rPr>
        <w:t>有关规章制度规定执行，</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zh-CN"/>
        </w:rPr>
        <w:t>预算</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zh-CN"/>
        </w:rPr>
        <w:t>。</w:t>
      </w:r>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（二）项目财务管理情况</w:t>
      </w:r>
    </w:p>
    <w:p>
      <w:pPr>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在资金使用时坚持专款专用，严格财务管理，专项核算，建立明细台账，留存资料随时接受监督和检查。</w:t>
      </w:r>
      <w:r>
        <w:rPr>
          <w:rFonts w:hint="eastAsia" w:ascii="仿宋_GB2312" w:hAnsi="仿宋_GB2312" w:eastAsia="仿宋_GB2312" w:cs="仿宋_GB2312"/>
          <w:sz w:val="32"/>
          <w:szCs w:val="32"/>
        </w:rPr>
        <w:t>项目严格执行财务管理制度、财务处理及时、会计核算符合规范。</w:t>
      </w:r>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（三）项目组织实施情况</w:t>
      </w:r>
    </w:p>
    <w:p>
      <w:pPr>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项目由业务科室根据</w:t>
      </w:r>
      <w:r>
        <w:rPr>
          <w:rFonts w:hint="eastAsia" w:ascii="仿宋_GB2312" w:hAnsi="仿宋_GB2312" w:eastAsia="仿宋_GB2312" w:cs="仿宋_GB2312"/>
          <w:sz w:val="32"/>
          <w:szCs w:val="32"/>
        </w:rPr>
        <w:t>各类业务申报情况，测算评审所需</w:t>
      </w:r>
      <w:r>
        <w:rPr>
          <w:rFonts w:hint="eastAsia" w:ascii="仿宋_GB2312" w:hAnsi="仿宋_GB2312" w:eastAsia="仿宋_GB2312" w:cs="仿宋_GB2312"/>
          <w:sz w:val="32"/>
          <w:szCs w:val="32"/>
          <w:lang w:val="zh-CN"/>
        </w:rPr>
        <w:t>金额，</w:t>
      </w:r>
      <w:r>
        <w:rPr>
          <w:rFonts w:hint="eastAsia" w:ascii="仿宋_GB2312" w:hAnsi="仿宋_GB2312" w:eastAsia="仿宋_GB2312" w:cs="仿宋_GB2312"/>
          <w:sz w:val="32"/>
          <w:szCs w:val="32"/>
        </w:rPr>
        <w:t>组织开展评审工作，</w:t>
      </w:r>
      <w:r>
        <w:rPr>
          <w:rFonts w:hint="eastAsia" w:ascii="仿宋_GB2312" w:hAnsi="仿宋_GB2312" w:eastAsia="仿宋_GB2312" w:cs="仿宋_GB2312"/>
          <w:sz w:val="32"/>
          <w:szCs w:val="32"/>
          <w:lang w:val="zh-CN"/>
        </w:rPr>
        <w:t>经</w:t>
      </w:r>
      <w:r>
        <w:rPr>
          <w:rFonts w:hint="eastAsia" w:ascii="仿宋_GB2312" w:hAnsi="仿宋_GB2312" w:eastAsia="仿宋_GB2312" w:cs="仿宋_GB2312"/>
          <w:sz w:val="32"/>
          <w:szCs w:val="32"/>
        </w:rPr>
        <w:t>层层审签</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财务室</w:t>
      </w:r>
      <w:r>
        <w:rPr>
          <w:rFonts w:hint="eastAsia" w:ascii="仿宋_GB2312" w:hAnsi="仿宋_GB2312" w:eastAsia="仿宋_GB2312" w:cs="仿宋_GB2312"/>
          <w:sz w:val="32"/>
          <w:szCs w:val="32"/>
          <w:lang w:val="zh-CN"/>
        </w:rPr>
        <w:t>对照金额转账实施，</w:t>
      </w:r>
      <w:r>
        <w:rPr>
          <w:rFonts w:hint="eastAsia" w:ascii="仿宋_GB2312" w:hAnsi="仿宋_GB2312" w:eastAsia="仿宋_GB2312" w:cs="仿宋_GB2312"/>
          <w:sz w:val="32"/>
          <w:szCs w:val="32"/>
        </w:rPr>
        <w:t>过程留存各级经办人</w:t>
      </w:r>
      <w:r>
        <w:rPr>
          <w:rFonts w:hint="eastAsia" w:ascii="仿宋_GB2312" w:hAnsi="仿宋_GB2312" w:eastAsia="仿宋_GB2312" w:cs="仿宋_GB2312"/>
          <w:sz w:val="32"/>
          <w:szCs w:val="32"/>
          <w:lang w:val="zh-CN"/>
        </w:rPr>
        <w:t>签字作为支付</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zh-CN"/>
        </w:rPr>
        <w:t>。</w:t>
      </w:r>
    </w:p>
    <w:p>
      <w:pPr>
        <w:adjustRightInd w:val="0"/>
        <w:snapToGrid w:val="0"/>
        <w:spacing w:line="576" w:lineRule="exact"/>
        <w:ind w:firstLine="720"/>
        <w:outlineLvl w:val="1"/>
        <w:rPr>
          <w:rFonts w:ascii="黑体" w:hAnsi="黑体" w:eastAsia="黑体" w:cs="黑体"/>
          <w:sz w:val="32"/>
          <w:szCs w:val="32"/>
          <w:lang w:val="zh-CN"/>
        </w:rPr>
      </w:pPr>
      <w:bookmarkStart w:id="114" w:name="_Toc23318"/>
      <w:r>
        <w:rPr>
          <w:rFonts w:hint="eastAsia" w:ascii="黑体" w:hAnsi="黑体" w:eastAsia="黑体" w:cs="黑体"/>
          <w:sz w:val="32"/>
          <w:szCs w:val="32"/>
        </w:rPr>
        <w:t>三、项目绩效情况</w:t>
      </w:r>
      <w:bookmarkEnd w:id="114"/>
      <w:r>
        <w:rPr>
          <w:rFonts w:hint="eastAsia" w:ascii="黑体" w:hAnsi="黑体" w:eastAsia="黑体" w:cs="黑体"/>
          <w:sz w:val="32"/>
          <w:szCs w:val="32"/>
          <w:lang w:val="zh-CN"/>
        </w:rPr>
        <w:tab/>
      </w:r>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（一）项目完成情况</w:t>
      </w:r>
    </w:p>
    <w:p>
      <w:pPr>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总成本8万元，在2021年12月31日前已完成。高质量完成该项目。无项目资金结余，无违规记录。</w:t>
      </w:r>
    </w:p>
    <w:p>
      <w:pPr>
        <w:numPr>
          <w:ilvl w:val="0"/>
          <w:numId w:val="8"/>
        </w:num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项目效益情况</w:t>
      </w:r>
    </w:p>
    <w:p>
      <w:pPr>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通过开展</w:t>
      </w:r>
      <w:r>
        <w:rPr>
          <w:rFonts w:hint="eastAsia" w:ascii="仿宋_GB2312" w:hAnsi="仿宋_GB2312" w:eastAsia="仿宋_GB2312" w:cs="仿宋_GB2312"/>
          <w:sz w:val="32"/>
          <w:szCs w:val="32"/>
        </w:rPr>
        <w:t>技能大师工作室评选</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建设民办培训机构</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提升院校教师教学能力</w:t>
      </w:r>
      <w:r>
        <w:rPr>
          <w:rFonts w:hint="eastAsia" w:ascii="仿宋_GB2312" w:hAnsi="仿宋_GB2312" w:eastAsia="仿宋_GB2312" w:cs="仿宋_GB2312"/>
          <w:sz w:val="32"/>
          <w:szCs w:val="32"/>
          <w:lang w:val="zh-CN"/>
        </w:rPr>
        <w:t>等多元化形式，带动和促进高技能人才培养，成效显著。</w:t>
      </w:r>
    </w:p>
    <w:p>
      <w:pPr>
        <w:adjustRightInd w:val="0"/>
        <w:snapToGrid w:val="0"/>
        <w:spacing w:line="576" w:lineRule="exact"/>
        <w:ind w:firstLine="720"/>
        <w:outlineLvl w:val="1"/>
        <w:rPr>
          <w:rFonts w:ascii="黑体" w:hAnsi="黑体" w:eastAsia="黑体" w:cs="黑体"/>
          <w:sz w:val="32"/>
          <w:szCs w:val="32"/>
        </w:rPr>
      </w:pPr>
      <w:bookmarkStart w:id="115" w:name="_Toc29601"/>
      <w:r>
        <w:rPr>
          <w:rFonts w:hint="eastAsia" w:ascii="黑体" w:hAnsi="黑体" w:eastAsia="黑体" w:cs="黑体"/>
          <w:sz w:val="32"/>
          <w:szCs w:val="32"/>
        </w:rPr>
        <w:t>四、问题及建议</w:t>
      </w:r>
      <w:bookmarkEnd w:id="115"/>
    </w:p>
    <w:p>
      <w:p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（一）存在的问题</w:t>
      </w:r>
    </w:p>
    <w:p>
      <w:pPr>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由于经费有限，每年开展技能大师工作室评选和民办培训机构有关业务均按计划实施，不利于项目规范有序地发展。</w:t>
      </w:r>
    </w:p>
    <w:p>
      <w:pPr>
        <w:numPr>
          <w:ilvl w:val="0"/>
          <w:numId w:val="8"/>
        </w:numPr>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相关建议</w:t>
      </w: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建议提高项目经费，为后续开展技能人才培养相关工作提供充足保障。</w:t>
      </w:r>
    </w:p>
    <w:p>
      <w:pPr>
        <w:spacing w:line="600" w:lineRule="exact"/>
        <w:jc w:val="center"/>
        <w:outlineLvl w:val="1"/>
        <w:rPr>
          <w:rFonts w:ascii="方正小标宋简体" w:eastAsia="方正小标宋简体"/>
          <w:b/>
          <w:sz w:val="44"/>
          <w:szCs w:val="44"/>
        </w:rPr>
      </w:pPr>
      <w:bookmarkStart w:id="116" w:name="_Toc26362"/>
      <w:r>
        <w:rPr>
          <w:rFonts w:hint="eastAsia" w:ascii="方正小标宋简体" w:eastAsia="方正小标宋简体"/>
          <w:b/>
          <w:sz w:val="44"/>
          <w:szCs w:val="44"/>
        </w:rPr>
        <w:t>2021年度市直属事业单位人员公开考调及招聘考务经费支出绩效自评报告（五）</w:t>
      </w:r>
      <w:bookmarkEnd w:id="116"/>
    </w:p>
    <w:p>
      <w:pPr>
        <w:adjustRightInd w:val="0"/>
        <w:snapToGrid w:val="0"/>
        <w:spacing w:line="576" w:lineRule="exact"/>
        <w:jc w:val="center"/>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（市直机关事业单位人员公开选调及招聘考务经费项目）</w:t>
      </w:r>
    </w:p>
    <w:p>
      <w:pPr>
        <w:spacing w:line="576" w:lineRule="exact"/>
        <w:rPr>
          <w:rFonts w:ascii="仿宋_GB2312" w:eastAsia="仿宋_GB2312"/>
          <w:sz w:val="32"/>
          <w:szCs w:val="32"/>
        </w:rPr>
      </w:pPr>
    </w:p>
    <w:p>
      <w:pPr>
        <w:spacing w:line="576" w:lineRule="exact"/>
        <w:ind w:firstLine="643" w:firstLineChars="200"/>
        <w:outlineLvl w:val="1"/>
        <w:rPr>
          <w:rFonts w:ascii="黑体" w:eastAsia="黑体"/>
          <w:b/>
          <w:sz w:val="32"/>
          <w:szCs w:val="32"/>
        </w:rPr>
      </w:pPr>
      <w:bookmarkStart w:id="117" w:name="_Toc31278"/>
      <w:r>
        <w:rPr>
          <w:rFonts w:hint="eastAsia" w:ascii="黑体" w:eastAsia="黑体"/>
          <w:b/>
          <w:sz w:val="32"/>
          <w:szCs w:val="32"/>
        </w:rPr>
        <w:t>一、项目概况</w:t>
      </w:r>
      <w:bookmarkEnd w:id="117"/>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（一）项目基本情况。</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根据市委编办年度空编使用计划，会同市委组织部组织实施我市2021年度直属事业单位工作人员公开考调、公开招聘工作。</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完成我市2021年度事业单位公开招聘、公开考调工作，补充事业单位工作人员。</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（三）资金申报相符性。</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项目资金的内容与我单位开展</w:t>
      </w:r>
      <w:r>
        <w:rPr>
          <w:rFonts w:hint="eastAsia" w:ascii="仿宋_GB2312" w:hAnsi="Calibri" w:eastAsia="仿宋_GB2312"/>
          <w:sz w:val="32"/>
          <w:szCs w:val="32"/>
        </w:rPr>
        <w:t>市直事业单位人员公开考调及招聘活动</w:t>
      </w:r>
      <w:r>
        <w:rPr>
          <w:rFonts w:hint="eastAsia" w:ascii="仿宋_GB2312" w:eastAsia="仿宋_GB2312"/>
          <w:sz w:val="32"/>
          <w:szCs w:val="32"/>
        </w:rPr>
        <w:t>内容完全相符、申报目标经测算是合理可行的。</w:t>
      </w:r>
    </w:p>
    <w:p>
      <w:pPr>
        <w:adjustRightInd w:val="0"/>
        <w:snapToGrid w:val="0"/>
        <w:spacing w:line="600" w:lineRule="exact"/>
        <w:ind w:firstLine="720"/>
        <w:outlineLvl w:val="1"/>
        <w:rPr>
          <w:rFonts w:ascii="黑体" w:hAnsi="宋体" w:eastAsia="黑体"/>
          <w:sz w:val="32"/>
          <w:szCs w:val="32"/>
        </w:rPr>
      </w:pPr>
      <w:bookmarkStart w:id="118" w:name="_Toc19527"/>
      <w:r>
        <w:rPr>
          <w:rFonts w:hint="eastAsia" w:ascii="黑体" w:hAnsi="宋体" w:eastAsia="黑体"/>
          <w:sz w:val="32"/>
          <w:szCs w:val="32"/>
        </w:rPr>
        <w:t>二、项目资金申报及使用情况</w:t>
      </w:r>
      <w:bookmarkEnd w:id="118"/>
    </w:p>
    <w:p>
      <w:pPr>
        <w:adjustRightInd w:val="0"/>
        <w:snapToGrid w:val="0"/>
        <w:spacing w:line="600" w:lineRule="exact"/>
        <w:ind w:firstLine="720"/>
        <w:rPr>
          <w:rFonts w:ascii="仿宋_GB2312" w:hAnsi="宋体" w:eastAsia="仿宋_GB2312"/>
          <w:sz w:val="32"/>
          <w:szCs w:val="32"/>
        </w:rPr>
      </w:pPr>
      <w:r>
        <w:rPr>
          <w:rFonts w:hint="eastAsia" w:ascii="楷体_GB2312" w:eastAsia="楷体_GB2312"/>
          <w:b/>
          <w:sz w:val="32"/>
          <w:szCs w:val="32"/>
        </w:rPr>
        <w:t>（一）资金申报及批复情况</w:t>
      </w:r>
      <w:r>
        <w:rPr>
          <w:rFonts w:hint="eastAsia" w:ascii="仿宋_GB2312" w:eastAsia="仿宋_GB2312"/>
          <w:spacing w:val="-8"/>
          <w:sz w:val="32"/>
          <w:szCs w:val="32"/>
        </w:rPr>
        <w:t>。</w:t>
      </w:r>
      <w:r>
        <w:rPr>
          <w:rFonts w:hint="eastAsia" w:ascii="仿宋_GB2312" w:hAnsi="宋体" w:eastAsia="仿宋_GB2312"/>
          <w:sz w:val="32"/>
          <w:szCs w:val="32"/>
          <w:lang w:val="zh-CN"/>
        </w:rPr>
        <w:t>经</w:t>
      </w:r>
      <w:r>
        <w:rPr>
          <w:rFonts w:hint="eastAsia" w:ascii="仿宋" w:hAnsi="仿宋" w:eastAsia="仿宋" w:cs="仿宋"/>
          <w:sz w:val="32"/>
          <w:szCs w:val="32"/>
        </w:rPr>
        <w:t>八届人大二次</w:t>
      </w:r>
      <w:r>
        <w:rPr>
          <w:rFonts w:hint="eastAsia" w:ascii="仿宋_GB2312" w:hAnsi="宋体" w:eastAsia="仿宋_GB2312"/>
          <w:sz w:val="32"/>
          <w:szCs w:val="32"/>
          <w:lang w:val="zh-CN"/>
        </w:rPr>
        <w:t>会议审查批准及市财政局批复，年初预算</w:t>
      </w:r>
      <w:r>
        <w:rPr>
          <w:rFonts w:hint="eastAsia" w:ascii="仿宋_GB2312" w:hAnsi="Calibri" w:eastAsia="仿宋_GB2312"/>
          <w:sz w:val="32"/>
          <w:szCs w:val="32"/>
        </w:rPr>
        <w:t>市直机关事业单位人员公开考调及招聘考务经费</w:t>
      </w:r>
      <w:r>
        <w:rPr>
          <w:rFonts w:hint="eastAsia" w:ascii="仿宋_GB2312" w:hAnsi="宋体" w:eastAsia="仿宋_GB2312"/>
          <w:sz w:val="32"/>
          <w:szCs w:val="32"/>
          <w:lang w:val="zh-CN"/>
        </w:rPr>
        <w:t>项目经费</w:t>
      </w:r>
      <w:r>
        <w:rPr>
          <w:rFonts w:hint="eastAsia" w:ascii="仿宋_GB2312" w:hAnsi="宋体" w:eastAsia="仿宋_GB2312"/>
          <w:sz w:val="32"/>
          <w:szCs w:val="32"/>
        </w:rPr>
        <w:t>7</w:t>
      </w:r>
      <w:r>
        <w:rPr>
          <w:rFonts w:hint="eastAsia" w:ascii="仿宋_GB2312" w:hAnsi="宋体" w:eastAsia="仿宋_GB2312"/>
          <w:sz w:val="32"/>
          <w:szCs w:val="32"/>
          <w:lang w:val="zh-CN"/>
        </w:rPr>
        <w:t>万元。</w:t>
      </w:r>
    </w:p>
    <w:p>
      <w:pPr>
        <w:spacing w:line="576" w:lineRule="exact"/>
        <w:ind w:firstLine="643" w:firstLineChars="200"/>
        <w:rPr>
          <w:rFonts w:ascii="仿宋_GB2312" w:hAnsi="宋体" w:eastAsia="仿宋_GB2312"/>
          <w:sz w:val="32"/>
          <w:szCs w:val="32"/>
        </w:rPr>
      </w:pPr>
      <w:r>
        <w:rPr>
          <w:rFonts w:hint="eastAsia" w:ascii="楷体_GB2312" w:eastAsia="楷体_GB2312"/>
          <w:b/>
          <w:sz w:val="32"/>
          <w:szCs w:val="32"/>
        </w:rPr>
        <w:t>（二）资金计划、到位、使用情况</w:t>
      </w:r>
      <w:r>
        <w:rPr>
          <w:rFonts w:hint="eastAsia" w:ascii="仿宋_GB2312" w:eastAsia="仿宋_GB2312"/>
          <w:sz w:val="32"/>
          <w:szCs w:val="32"/>
        </w:rPr>
        <w:t>。</w:t>
      </w:r>
      <w:r>
        <w:rPr>
          <w:rFonts w:hint="eastAsia" w:ascii="仿宋_GB2312" w:hAnsi="宋体" w:eastAsia="仿宋_GB2312"/>
          <w:sz w:val="32"/>
          <w:szCs w:val="32"/>
          <w:lang w:val="zh-CN"/>
        </w:rPr>
        <w:t>该项目资金计划</w:t>
      </w:r>
      <w:r>
        <w:rPr>
          <w:rFonts w:hint="eastAsia" w:ascii="仿宋_GB2312" w:hAnsi="宋体" w:eastAsia="仿宋_GB2312"/>
          <w:sz w:val="32"/>
          <w:szCs w:val="32"/>
        </w:rPr>
        <w:t>7万</w:t>
      </w:r>
      <w:r>
        <w:rPr>
          <w:rFonts w:hint="eastAsia" w:ascii="仿宋_GB2312" w:hAnsi="宋体" w:eastAsia="仿宋_GB2312"/>
          <w:sz w:val="32"/>
          <w:szCs w:val="32"/>
          <w:lang w:val="zh-CN"/>
        </w:rPr>
        <w:t>元，到位</w:t>
      </w:r>
      <w:r>
        <w:rPr>
          <w:rFonts w:hint="eastAsia" w:ascii="仿宋_GB2312" w:hAnsi="宋体" w:eastAsia="仿宋_GB2312"/>
          <w:sz w:val="32"/>
          <w:szCs w:val="32"/>
        </w:rPr>
        <w:t>7万元，资金到位率100%，为本级财政拨款资金。</w:t>
      </w:r>
      <w:r>
        <w:rPr>
          <w:rFonts w:hint="eastAsia" w:ascii="仿宋_GB2312" w:hAnsi="宋体" w:eastAsia="仿宋_GB2312"/>
          <w:sz w:val="32"/>
          <w:szCs w:val="32"/>
          <w:lang w:val="zh-CN"/>
        </w:rPr>
        <w:t>截止到评价日，该项目资金已使用</w:t>
      </w:r>
      <w:r>
        <w:rPr>
          <w:rFonts w:hint="eastAsia" w:ascii="仿宋_GB2312" w:hAnsi="宋体" w:eastAsia="仿宋_GB2312"/>
          <w:sz w:val="32"/>
          <w:szCs w:val="32"/>
        </w:rPr>
        <w:t>7万</w:t>
      </w:r>
      <w:r>
        <w:rPr>
          <w:rFonts w:hint="eastAsia" w:ascii="仿宋_GB2312" w:hAnsi="宋体" w:eastAsia="仿宋_GB2312"/>
          <w:sz w:val="32"/>
          <w:szCs w:val="32"/>
          <w:lang w:val="zh-CN"/>
        </w:rPr>
        <w:t>元，完成支付</w:t>
      </w:r>
      <w:r>
        <w:rPr>
          <w:rFonts w:hint="eastAsia" w:ascii="仿宋_GB2312" w:hAnsi="宋体" w:eastAsia="仿宋_GB2312"/>
          <w:sz w:val="32"/>
          <w:szCs w:val="32"/>
        </w:rPr>
        <w:t>7万元</w:t>
      </w:r>
      <w:r>
        <w:rPr>
          <w:rFonts w:hint="eastAsia" w:ascii="仿宋_GB2312" w:hAnsi="宋体" w:eastAsia="仿宋_GB2312"/>
          <w:sz w:val="32"/>
          <w:szCs w:val="32"/>
          <w:lang w:val="zh-CN"/>
        </w:rPr>
        <w:t>元，</w:t>
      </w:r>
      <w:r>
        <w:rPr>
          <w:rFonts w:hint="eastAsia" w:ascii="仿宋_GB2312" w:hAnsi="宋体" w:eastAsia="仿宋_GB2312"/>
          <w:sz w:val="32"/>
          <w:szCs w:val="32"/>
        </w:rPr>
        <w:t>预算支出未发现无预算、超预算支出，</w:t>
      </w:r>
      <w:r>
        <w:rPr>
          <w:rFonts w:hint="eastAsia" w:ascii="仿宋_GB2312" w:hAnsi="宋体" w:eastAsia="仿宋_GB2312"/>
          <w:sz w:val="32"/>
          <w:szCs w:val="32"/>
          <w:lang w:val="zh-CN"/>
        </w:rPr>
        <w:t>资金使用安全、规范及有效，资金支付范围、支付标准、支付进度、支付依据等合规合法、与预算相符，</w:t>
      </w:r>
      <w:r>
        <w:rPr>
          <w:rFonts w:hint="eastAsia" w:ascii="仿宋_GB2312" w:hAnsi="宋体" w:eastAsia="仿宋_GB2312"/>
          <w:sz w:val="32"/>
          <w:szCs w:val="32"/>
        </w:rPr>
        <w:t>未发现虚列支出、挤占、挪用、转移财政资金行为。</w:t>
      </w:r>
    </w:p>
    <w:p>
      <w:pPr>
        <w:spacing w:line="576" w:lineRule="exact"/>
        <w:ind w:firstLine="643" w:firstLineChars="200"/>
        <w:outlineLvl w:val="1"/>
        <w:rPr>
          <w:rFonts w:ascii="黑体" w:eastAsia="黑体"/>
          <w:b/>
          <w:sz w:val="32"/>
          <w:szCs w:val="32"/>
        </w:rPr>
      </w:pPr>
      <w:bookmarkStart w:id="119" w:name="_Toc30859"/>
      <w:r>
        <w:rPr>
          <w:rFonts w:hint="eastAsia" w:ascii="黑体" w:eastAsia="黑体"/>
          <w:b/>
          <w:sz w:val="32"/>
          <w:szCs w:val="32"/>
        </w:rPr>
        <w:t>三、项目实施及管理情况</w:t>
      </w:r>
      <w:bookmarkEnd w:id="119"/>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（一）项目组织架构及实施情况</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1.根据《广元市直机关事业单位公开考调工作人员办法（试行）》（广组通〔2020〕29号），报经市委、市政府批准后，会同市委组织部启动了2021年度直属机关事业单位公开考调工作。</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2.围绕补充疫情防控急需紧缺，以及经济社会事业发展急需人才、促进高校毕业生就业和脱贫攻坚三大主题，严格按照省、市文件规定，按程序报批后，为事业单位公开招聘补充了一批急需紧缺的工作人员。</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（二）项目管理情况</w:t>
      </w:r>
    </w:p>
    <w:p>
      <w:pPr>
        <w:adjustRightInd w:val="0"/>
        <w:snapToGrid w:val="0"/>
        <w:spacing w:line="576" w:lineRule="exact"/>
        <w:ind w:firstLine="640" w:firstLineChars="200"/>
        <w:rPr>
          <w:rFonts w:ascii="楷体_GB2312" w:eastAsia="楷体_GB2312"/>
          <w:b/>
          <w:sz w:val="32"/>
          <w:szCs w:val="32"/>
        </w:rPr>
      </w:pPr>
      <w:r>
        <w:rPr>
          <w:rFonts w:hint="eastAsia" w:ascii="仿宋_GB2312" w:hAnsi="仿宋_GB2312" w:eastAsia="仿宋_GB2312" w:cs="仿宋_GB2312"/>
          <w:sz w:val="32"/>
          <w:szCs w:val="32"/>
          <w:lang w:val="zh-CN"/>
        </w:rPr>
        <w:t>该项目资金由局规划财务科统一进行专项资金财务核算管理，财务管理制度健全、会计核算及账务处理规范，项目执行过程中，严格执行财务管理制度，保证了专款专用。</w:t>
      </w:r>
    </w:p>
    <w:p>
      <w:pPr>
        <w:spacing w:line="576" w:lineRule="exact"/>
        <w:ind w:firstLine="643" w:firstLineChars="200"/>
        <w:outlineLvl w:val="1"/>
        <w:rPr>
          <w:rFonts w:ascii="黑体" w:eastAsia="黑体"/>
          <w:b/>
          <w:sz w:val="32"/>
          <w:szCs w:val="32"/>
        </w:rPr>
      </w:pPr>
      <w:bookmarkStart w:id="120" w:name="_Toc31490"/>
      <w:r>
        <w:rPr>
          <w:rFonts w:hint="eastAsia" w:ascii="黑体" w:eastAsia="黑体"/>
          <w:b/>
          <w:sz w:val="32"/>
          <w:szCs w:val="32"/>
        </w:rPr>
        <w:t>四、项目绩效情况</w:t>
      </w:r>
      <w:bookmarkEnd w:id="120"/>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（一）项目完成情况</w:t>
      </w:r>
    </w:p>
    <w:p>
      <w:pPr>
        <w:spacing w:line="576" w:lineRule="exact"/>
        <w:ind w:firstLine="643" w:firstLineChars="200"/>
        <w:rPr>
          <w:rFonts w:ascii="仿宋_GB2312" w:hAnsi="Calibri" w:eastAsia="仿宋_GB2312"/>
          <w:sz w:val="32"/>
          <w:szCs w:val="32"/>
        </w:rPr>
      </w:pPr>
      <w:r>
        <w:rPr>
          <w:rFonts w:hint="eastAsia" w:ascii="楷体_GB2312" w:eastAsia="楷体_GB2312"/>
          <w:b/>
          <w:sz w:val="32"/>
          <w:szCs w:val="32"/>
        </w:rPr>
        <w:t>1.</w:t>
      </w:r>
      <w:r>
        <w:rPr>
          <w:rFonts w:hint="eastAsia" w:ascii="仿宋_GB2312" w:hAnsi="Calibri" w:eastAsia="仿宋_GB2312"/>
          <w:sz w:val="32"/>
          <w:szCs w:val="32"/>
        </w:rPr>
        <w:t>2021年市直事业单位公开考调工作人员共44名，其中，管理岗位36名、专业技术岗位18名。</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2.2021年发布公开招聘公告31次，公开招聘1803人，其中：</w:t>
      </w:r>
      <w:r>
        <w:rPr>
          <w:rFonts w:hint="eastAsia" w:ascii="仿宋_GB2312" w:eastAsia="仿宋_GB2312"/>
          <w:sz w:val="32"/>
          <w:szCs w:val="32"/>
        </w:rPr>
        <w:t>市直236人，县区1567人</w:t>
      </w:r>
      <w:r>
        <w:rPr>
          <w:rFonts w:hint="eastAsia" w:ascii="仿宋_GB2312" w:hAnsi="Calibri" w:eastAsia="仿宋_GB2312"/>
          <w:sz w:val="32"/>
          <w:szCs w:val="32"/>
        </w:rPr>
        <w:t>，招聘工作平稳、顺利、安全。</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（二）项目效益情况</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在市委编办年度空编使用计划内，规范组织实施了我市事业单位公开招聘、公开考调工作，确保事业单位工作人员补充到位。</w:t>
      </w:r>
    </w:p>
    <w:p>
      <w:pPr>
        <w:spacing w:line="576" w:lineRule="exact"/>
        <w:ind w:firstLine="643" w:firstLineChars="200"/>
        <w:outlineLvl w:val="1"/>
        <w:rPr>
          <w:rFonts w:ascii="黑体" w:eastAsia="黑体"/>
          <w:b/>
          <w:sz w:val="32"/>
          <w:szCs w:val="32"/>
        </w:rPr>
      </w:pPr>
      <w:bookmarkStart w:id="121" w:name="_Toc20740"/>
      <w:r>
        <w:rPr>
          <w:rFonts w:hint="eastAsia" w:ascii="黑体" w:eastAsia="黑体"/>
          <w:b/>
          <w:sz w:val="32"/>
          <w:szCs w:val="32"/>
        </w:rPr>
        <w:t>五、自评结论及建议</w:t>
      </w:r>
      <w:bookmarkEnd w:id="121"/>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（一）评价结论。</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该项资金的合理使用，能够确保我市事业单位公开招聘、公开考调工作的顺利运行，为提高高校毕业生就业率、缓解就业压力提供有力的支撑。</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（二）存在的问题。</w:t>
      </w:r>
    </w:p>
    <w:p>
      <w:pPr>
        <w:spacing w:line="576" w:lineRule="exact"/>
        <w:ind w:firstLine="640" w:firstLineChars="200"/>
        <w:rPr>
          <w:rFonts w:ascii="仿宋_GB2312" w:hAnsi="Calibri" w:eastAsia="仿宋_GB2312"/>
          <w:sz w:val="32"/>
          <w:szCs w:val="32"/>
        </w:rPr>
      </w:pPr>
      <w:r>
        <w:rPr>
          <w:rFonts w:hint="eastAsia" w:ascii="仿宋_GB2312" w:hAnsi="Calibri" w:eastAsia="仿宋_GB2312"/>
          <w:sz w:val="32"/>
          <w:szCs w:val="32"/>
        </w:rPr>
        <w:t>随着每年高校毕业生人数的增多，以及面临的就业形势，事业单位公开招聘报名人数可能会逐年增加，资金不足将会导致事业单位公开招聘、公开考调工作运转出现问题。</w:t>
      </w:r>
    </w:p>
    <w:p>
      <w:pPr>
        <w:spacing w:line="576" w:lineRule="exact"/>
        <w:ind w:firstLine="643" w:firstLineChars="200"/>
        <w:rPr>
          <w:rFonts w:ascii="楷体_GB2312" w:eastAsia="楷体_GB2312"/>
          <w:b/>
          <w:sz w:val="32"/>
          <w:szCs w:val="32"/>
        </w:rPr>
      </w:pPr>
      <w:r>
        <w:rPr>
          <w:rFonts w:hint="eastAsia" w:ascii="楷体_GB2312" w:eastAsia="楷体_GB2312"/>
          <w:b/>
          <w:sz w:val="32"/>
          <w:szCs w:val="32"/>
        </w:rPr>
        <w:t>（三）相关建议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提高我市事业单位公开招聘、公开考调工作经费预算。</w:t>
      </w:r>
    </w:p>
    <w:p>
      <w:pPr>
        <w:spacing w:line="576" w:lineRule="exact"/>
        <w:rPr>
          <w:rFonts w:ascii="仿宋_GB2312" w:eastAsia="仿宋_GB2312"/>
          <w:sz w:val="32"/>
          <w:szCs w:val="32"/>
        </w:rPr>
      </w:pPr>
    </w:p>
    <w:p>
      <w:pPr>
        <w:spacing w:line="576" w:lineRule="exact"/>
        <w:ind w:firstLine="3779" w:firstLineChars="1181"/>
        <w:jc w:val="center"/>
        <w:rPr>
          <w:rFonts w:ascii="仿宋_GB2312" w:eastAsia="仿宋_GB2312"/>
          <w:sz w:val="32"/>
          <w:szCs w:val="32"/>
        </w:rPr>
      </w:pPr>
    </w:p>
    <w:p>
      <w:pPr>
        <w:spacing w:line="576" w:lineRule="exact"/>
      </w:pPr>
    </w:p>
    <w:p>
      <w:pPr>
        <w:pStyle w:val="5"/>
        <w:spacing w:before="93"/>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15"/>
        <w:tblpPr w:leftFromText="180" w:rightFromText="180" w:vertAnchor="text" w:horzAnchor="page" w:tblpX="1281" w:tblpY="660"/>
        <w:tblOverlap w:val="never"/>
        <w:tblW w:w="0" w:type="auto"/>
        <w:tblInd w:w="0" w:type="dxa"/>
        <w:tblLayout w:type="fixed"/>
        <w:tblCellMar>
          <w:top w:w="0" w:type="dxa"/>
          <w:left w:w="108" w:type="dxa"/>
          <w:bottom w:w="0" w:type="dxa"/>
          <w:right w:w="108" w:type="dxa"/>
        </w:tblCellMar>
      </w:tblPr>
      <w:tblGrid>
        <w:gridCol w:w="925"/>
        <w:gridCol w:w="887"/>
        <w:gridCol w:w="1413"/>
        <w:gridCol w:w="1862"/>
        <w:gridCol w:w="1938"/>
        <w:gridCol w:w="624"/>
        <w:gridCol w:w="1928"/>
        <w:gridCol w:w="236"/>
      </w:tblGrid>
      <w:tr>
        <w:tblPrEx>
          <w:tblCellMar>
            <w:top w:w="0" w:type="dxa"/>
            <w:left w:w="108" w:type="dxa"/>
            <w:bottom w:w="0" w:type="dxa"/>
            <w:right w:w="108" w:type="dxa"/>
          </w:tblCellMar>
        </w:tblPrEx>
        <w:trPr>
          <w:trHeight w:val="675" w:hRule="atLeast"/>
        </w:trPr>
        <w:tc>
          <w:tcPr>
            <w:tcW w:w="9577" w:type="dxa"/>
            <w:gridSpan w:val="7"/>
            <w:tcBorders>
              <w:top w:val="nil"/>
              <w:left w:val="nil"/>
              <w:bottom w:val="nil"/>
              <w:right w:val="nil"/>
            </w:tcBorders>
            <w:shd w:val="clear" w:color="auto" w:fill="auto"/>
            <w:vAlign w:val="center"/>
          </w:tcPr>
          <w:p>
            <w:pPr>
              <w:widowControl/>
              <w:jc w:val="center"/>
              <w:textAlignment w:val="center"/>
              <w:rPr>
                <w:rFonts w:ascii="黑体" w:hAnsi="黑体" w:eastAsia="黑体" w:cs="黑体"/>
                <w:sz w:val="44"/>
                <w:szCs w:val="44"/>
              </w:rPr>
            </w:pPr>
            <w:r>
              <w:rPr>
                <w:rFonts w:hint="eastAsia" w:ascii="黑体" w:hAnsi="黑体" w:eastAsia="黑体" w:cs="黑体"/>
                <w:sz w:val="44"/>
                <w:szCs w:val="44"/>
              </w:rPr>
              <w:t>2021年部门预算项目绩效目标自评表（一）</w:t>
            </w:r>
          </w:p>
          <w:p>
            <w:pPr>
              <w:widowControl/>
              <w:jc w:val="center"/>
              <w:textAlignment w:val="center"/>
              <w:rPr>
                <w:rFonts w:eastAsia="方正仿宋简体"/>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"一卡通"阳光审批平台建设采购资金项目</w:t>
            </w:r>
            <w:r>
              <w:rPr>
                <w:rFonts w:hint="eastAsia" w:ascii="仿宋_GB2312" w:hAnsi="仿宋_GB2312" w:eastAsia="仿宋_GB2312" w:cs="仿宋_GB2312"/>
                <w:sz w:val="32"/>
                <w:szCs w:val="32"/>
              </w:rPr>
              <w:t>）</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主管部门及代码</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342-广元市人力资源和社会保障局</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实施单位</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广元市人力资源和社会保障局</w:t>
            </w:r>
          </w:p>
        </w:tc>
      </w:tr>
      <w:tr>
        <w:tblPrEx>
          <w:tblCellMar>
            <w:top w:w="0" w:type="dxa"/>
            <w:left w:w="108" w:type="dxa"/>
            <w:bottom w:w="0" w:type="dxa"/>
            <w:right w:w="108" w:type="dxa"/>
          </w:tblCellMar>
        </w:tblPrEx>
        <w:trPr>
          <w:gridAfter w:val="1"/>
          <w:wAfter w:w="234" w:type="dxa"/>
          <w:trHeight w:val="341" w:hRule="atLeast"/>
        </w:trPr>
        <w:tc>
          <w:tcPr>
            <w:tcW w:w="18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项目预算</w:t>
            </w:r>
          </w:p>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执行情况</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（万元）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 xml:space="preserve"> 执行数：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26</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03</w:t>
            </w:r>
          </w:p>
        </w:tc>
      </w:tr>
      <w:tr>
        <w:tblPrEx>
          <w:tblCellMar>
            <w:top w:w="0" w:type="dxa"/>
            <w:left w:w="108" w:type="dxa"/>
            <w:bottom w:w="0" w:type="dxa"/>
            <w:right w:w="108" w:type="dxa"/>
          </w:tblCellMar>
        </w:tblPrEx>
        <w:trPr>
          <w:gridAfter w:val="1"/>
          <w:wAfter w:w="234" w:type="dxa"/>
          <w:trHeight w:val="555" w:hRule="atLeast"/>
        </w:trPr>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720" w:firstLineChars="300"/>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26</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03</w:t>
            </w:r>
          </w:p>
        </w:tc>
      </w:tr>
      <w:tr>
        <w:tblPrEx>
          <w:tblCellMar>
            <w:top w:w="0" w:type="dxa"/>
            <w:left w:w="108" w:type="dxa"/>
            <w:bottom w:w="0" w:type="dxa"/>
            <w:right w:w="108" w:type="dxa"/>
          </w:tblCellMar>
        </w:tblPrEx>
        <w:trPr>
          <w:gridAfter w:val="1"/>
          <w:wAfter w:w="234" w:type="dxa"/>
          <w:trHeight w:val="341" w:hRule="atLeast"/>
        </w:trPr>
        <w:tc>
          <w:tcPr>
            <w:tcW w:w="1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0 </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0</w:t>
            </w:r>
          </w:p>
        </w:tc>
      </w:tr>
      <w:tr>
        <w:tblPrEx>
          <w:tblCellMar>
            <w:top w:w="0" w:type="dxa"/>
            <w:left w:w="108" w:type="dxa"/>
            <w:bottom w:w="0" w:type="dxa"/>
            <w:right w:w="108" w:type="dxa"/>
          </w:tblCellMar>
        </w:tblPrEx>
        <w:trPr>
          <w:gridAfter w:val="1"/>
          <w:wAfter w:w="234" w:type="dxa"/>
          <w:trHeight w:val="217" w:hRule="atLeast"/>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年度总体目标</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完成情况</w:t>
            </w:r>
          </w:p>
        </w:tc>
        <w:tc>
          <w:tcPr>
            <w:tcW w:w="4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4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cs="宋体" w:asciiTheme="minorEastAsia" w:hAnsiTheme="minorEastAsia" w:eastAsiaTheme="minorEastAsia"/>
                <w:sz w:val="24"/>
              </w:rPr>
            </w:pPr>
          </w:p>
        </w:tc>
        <w:tc>
          <w:tcPr>
            <w:tcW w:w="416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该项目预期在</w:t>
            </w:r>
            <w:r>
              <w:rPr>
                <w:rFonts w:cs="仿宋_GB2312" w:asciiTheme="minorEastAsia" w:hAnsiTheme="minorEastAsia" w:eastAsiaTheme="minorEastAsia"/>
                <w:color w:val="000000"/>
                <w:kern w:val="0"/>
                <w:sz w:val="24"/>
              </w:rPr>
              <w:t>202</w:t>
            </w:r>
            <w:r>
              <w:rPr>
                <w:rFonts w:hint="eastAsia" w:cs="仿宋_GB2312" w:asciiTheme="minorEastAsia" w:hAnsiTheme="minorEastAsia" w:eastAsiaTheme="minorEastAsia"/>
                <w:color w:val="000000"/>
                <w:kern w:val="0"/>
                <w:sz w:val="24"/>
              </w:rPr>
              <w:t>1年9月底前，建成“一卡通”阳光审批系统并上线试运行。</w:t>
            </w:r>
          </w:p>
          <w:p>
            <w:pPr>
              <w:widowControl/>
              <w:jc w:val="center"/>
              <w:textAlignment w:val="center"/>
              <w:rPr>
                <w:rFonts w:cs="仿宋_GB2312" w:asciiTheme="minorEastAsia" w:hAnsiTheme="minorEastAsia" w:eastAsiaTheme="minorEastAsia"/>
                <w:color w:val="000000"/>
                <w:kern w:val="0"/>
                <w:sz w:val="24"/>
              </w:rPr>
            </w:pPr>
          </w:p>
        </w:tc>
        <w:tc>
          <w:tcPr>
            <w:tcW w:w="4490"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textAlignment w:val="top"/>
              <w:rPr>
                <w:rFonts w:cs="宋体" w:asciiTheme="minorEastAsia" w:hAnsiTheme="minorEastAsia" w:eastAsiaTheme="minorEastAsia"/>
                <w:sz w:val="24"/>
              </w:rPr>
            </w:pPr>
          </w:p>
          <w:p>
            <w:pPr>
              <w:widowControl/>
              <w:spacing w:line="320" w:lineRule="exact"/>
              <w:jc w:val="center"/>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已完成预期目标。</w:t>
            </w:r>
          </w:p>
        </w:tc>
      </w:tr>
      <w:tr>
        <w:tblPrEx>
          <w:tblCellMar>
            <w:top w:w="0" w:type="dxa"/>
            <w:left w:w="108" w:type="dxa"/>
            <w:bottom w:w="0" w:type="dxa"/>
            <w:right w:w="108" w:type="dxa"/>
          </w:tblCellMar>
        </w:tblPrEx>
        <w:trPr>
          <w:gridAfter w:val="1"/>
          <w:wAfter w:w="234" w:type="dxa"/>
          <w:trHeight w:val="693" w:hRule="atLeast"/>
        </w:trPr>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年度绩效指标完成情况</w:t>
            </w:r>
          </w:p>
        </w:tc>
        <w:tc>
          <w:tcPr>
            <w:tcW w:w="88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预期指标值</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完成</w:t>
            </w:r>
          </w:p>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数量指标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“一卡通”阳光审批系统建设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1套系统</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1套系统</w:t>
            </w:r>
          </w:p>
        </w:tc>
      </w:tr>
      <w:tr>
        <w:tblPrEx>
          <w:tblCellMar>
            <w:top w:w="0" w:type="dxa"/>
            <w:left w:w="108" w:type="dxa"/>
            <w:bottom w:w="0" w:type="dxa"/>
            <w:right w:w="108" w:type="dxa"/>
          </w:tblCellMar>
        </w:tblPrEx>
        <w:trPr>
          <w:gridAfter w:val="1"/>
          <w:wAfter w:w="234" w:type="dxa"/>
          <w:trHeight w:val="415"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数量指标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“一卡通”阳光发放数据迁移和“一卡通”阳光审批系统备份数据库建设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1次数据迁移，1个生产数据库建设，1个备份数据库建设</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1次数据迁移，1个生产数据库建设，1个备份数据库建设</w:t>
            </w:r>
          </w:p>
        </w:tc>
      </w:tr>
      <w:tr>
        <w:tblPrEx>
          <w:tblCellMar>
            <w:top w:w="0" w:type="dxa"/>
            <w:left w:w="108" w:type="dxa"/>
            <w:bottom w:w="0" w:type="dxa"/>
            <w:right w:w="108" w:type="dxa"/>
          </w:tblCellMar>
        </w:tblPrEx>
        <w:trPr>
          <w:gridAfter w:val="1"/>
          <w:wAfter w:w="234" w:type="dxa"/>
          <w:trHeight w:val="415"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数量指标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“一卡通”阳光审批系统建设其他费用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设计费用、人工费用等</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设计费用、人工费用等</w:t>
            </w:r>
          </w:p>
        </w:tc>
      </w:tr>
      <w:tr>
        <w:tblPrEx>
          <w:tblCellMar>
            <w:top w:w="0" w:type="dxa"/>
            <w:left w:w="108" w:type="dxa"/>
            <w:bottom w:w="0" w:type="dxa"/>
            <w:right w:w="108" w:type="dxa"/>
          </w:tblCellMar>
        </w:tblPrEx>
        <w:trPr>
          <w:gridAfter w:val="1"/>
          <w:wAfter w:w="234" w:type="dxa"/>
          <w:trHeight w:val="415"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质量指标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“一卡通”阳光审批系统上线运行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满足市县定项目审批经办</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满足市县定项目审批经办</w:t>
            </w:r>
          </w:p>
        </w:tc>
      </w:tr>
      <w:tr>
        <w:tblPrEx>
          <w:tblCellMar>
            <w:top w:w="0" w:type="dxa"/>
            <w:left w:w="108" w:type="dxa"/>
            <w:bottom w:w="0" w:type="dxa"/>
            <w:right w:w="108" w:type="dxa"/>
          </w:tblCellMar>
        </w:tblPrEx>
        <w:trPr>
          <w:gridAfter w:val="1"/>
          <w:wAfter w:w="234" w:type="dxa"/>
          <w:trHeight w:val="415"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时效指标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建成市县“一卡通”阳光审批系统</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color w:val="000000"/>
                <w:kern w:val="0"/>
                <w:sz w:val="24"/>
              </w:rPr>
              <w:t>2021年</w:t>
            </w:r>
            <w:r>
              <w:rPr>
                <w:rFonts w:cs="仿宋_GB2312" w:asciiTheme="minorEastAsia" w:hAnsiTheme="minorEastAsia" w:eastAsiaTheme="minorEastAsia"/>
                <w:color w:val="000000"/>
                <w:kern w:val="0"/>
                <w:sz w:val="24"/>
              </w:rPr>
              <w:t>9月底前</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color w:val="000000"/>
                <w:kern w:val="0"/>
                <w:sz w:val="24"/>
              </w:rPr>
              <w:t>2021年</w:t>
            </w:r>
            <w:r>
              <w:rPr>
                <w:rFonts w:cs="仿宋_GB2312" w:asciiTheme="minorEastAsia" w:hAnsiTheme="minorEastAsia" w:eastAsiaTheme="minorEastAsia"/>
                <w:color w:val="000000"/>
                <w:kern w:val="0"/>
                <w:sz w:val="24"/>
              </w:rPr>
              <w:t>9月</w:t>
            </w:r>
            <w:r>
              <w:rPr>
                <w:rFonts w:hint="eastAsia" w:cs="仿宋_GB2312" w:asciiTheme="minorEastAsia" w:hAnsiTheme="minorEastAsia" w:eastAsiaTheme="minorEastAsia"/>
                <w:color w:val="000000"/>
                <w:kern w:val="0"/>
                <w:sz w:val="24"/>
              </w:rPr>
              <w:t>30日</w:t>
            </w:r>
          </w:p>
        </w:tc>
      </w:tr>
      <w:tr>
        <w:tblPrEx>
          <w:tblCellMar>
            <w:top w:w="0" w:type="dxa"/>
            <w:left w:w="108" w:type="dxa"/>
            <w:bottom w:w="0" w:type="dxa"/>
            <w:right w:w="108" w:type="dxa"/>
          </w:tblCellMar>
        </w:tblPrEx>
        <w:trPr>
          <w:gridAfter w:val="1"/>
          <w:wAfter w:w="234" w:type="dxa"/>
          <w:trHeight w:val="480"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成本指标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“一卡通”阳光审批系统</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260万元</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235万元</w:t>
            </w:r>
          </w:p>
        </w:tc>
      </w:tr>
      <w:tr>
        <w:tblPrEx>
          <w:tblCellMar>
            <w:top w:w="0" w:type="dxa"/>
            <w:left w:w="108" w:type="dxa"/>
            <w:bottom w:w="0" w:type="dxa"/>
            <w:right w:w="108" w:type="dxa"/>
          </w:tblCellMar>
        </w:tblPrEx>
        <w:trPr>
          <w:gridAfter w:val="1"/>
          <w:wAfter w:w="234" w:type="dxa"/>
          <w:trHeight w:val="480"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成本指标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“一卡通”阳光发放数据迁移和“一卡通”阳光审批系统备份数据库</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30万元</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29.38万元</w:t>
            </w:r>
          </w:p>
        </w:tc>
      </w:tr>
      <w:tr>
        <w:tblPrEx>
          <w:tblCellMar>
            <w:top w:w="0" w:type="dxa"/>
            <w:left w:w="108" w:type="dxa"/>
            <w:bottom w:w="0" w:type="dxa"/>
            <w:right w:w="108" w:type="dxa"/>
          </w:tblCellMar>
        </w:tblPrEx>
        <w:trPr>
          <w:gridAfter w:val="1"/>
          <w:wAfter w:w="234" w:type="dxa"/>
          <w:trHeight w:val="480"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成本指标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“一卡通”阳光审批系统建设其他费用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10万元</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产生其他费用4.65万元已在“一卡通”工作经费中列支</w:t>
            </w:r>
          </w:p>
        </w:tc>
      </w:tr>
      <w:tr>
        <w:tblPrEx>
          <w:tblCellMar>
            <w:top w:w="0" w:type="dxa"/>
            <w:left w:w="108" w:type="dxa"/>
            <w:bottom w:w="0" w:type="dxa"/>
            <w:right w:w="108" w:type="dxa"/>
          </w:tblCellMar>
        </w:tblPrEx>
        <w:trPr>
          <w:gridAfter w:val="1"/>
          <w:wAfter w:w="234" w:type="dxa"/>
          <w:trHeight w:val="480" w:hRule="atLeast"/>
        </w:trPr>
        <w:tc>
          <w:tcPr>
            <w:tcW w:w="925" w:type="dxa"/>
            <w:vMerge w:val="continue"/>
            <w:tcBorders>
              <w:left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可持续影响指标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持续满足“一卡通”线上办事需求</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长期</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sz w:val="24"/>
              </w:rPr>
              <w:t>长期有效</w:t>
            </w:r>
          </w:p>
        </w:tc>
      </w:tr>
      <w:tr>
        <w:tblPrEx>
          <w:tblCellMar>
            <w:top w:w="0" w:type="dxa"/>
            <w:left w:w="108" w:type="dxa"/>
            <w:bottom w:w="0" w:type="dxa"/>
            <w:right w:w="108" w:type="dxa"/>
          </w:tblCellMar>
        </w:tblPrEx>
        <w:trPr>
          <w:gridAfter w:val="1"/>
          <w:wAfter w:w="234" w:type="dxa"/>
          <w:trHeight w:val="530" w:hRule="atLeast"/>
        </w:trPr>
        <w:tc>
          <w:tcPr>
            <w:tcW w:w="9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cs="仿宋_GB2312" w:asciiTheme="minorEastAsia" w:hAnsiTheme="minorEastAsia" w:eastAsiaTheme="minorEastAsia"/>
                <w:sz w:val="24"/>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满意</w:t>
            </w:r>
          </w:p>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满意度度</w:t>
            </w:r>
          </w:p>
          <w:p>
            <w:pPr>
              <w:widowControl/>
              <w:spacing w:line="320" w:lineRule="exact"/>
              <w:jc w:val="left"/>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color w:val="000000"/>
                <w:kern w:val="0"/>
                <w:sz w:val="24"/>
              </w:rPr>
              <w:t>群众满意度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&gt;95%</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cs="仿宋_GB2312" w:asciiTheme="minorEastAsia" w:hAnsiTheme="minorEastAsia" w:eastAsiaTheme="minorEastAsia"/>
                <w:sz w:val="24"/>
              </w:rPr>
            </w:pPr>
            <w:r>
              <w:rPr>
                <w:rFonts w:cs="仿宋_GB2312" w:asciiTheme="minorEastAsia" w:hAnsiTheme="minorEastAsia" w:eastAsiaTheme="minorEastAsia"/>
                <w:color w:val="000000"/>
                <w:kern w:val="0"/>
                <w:sz w:val="24"/>
              </w:rPr>
              <w:t>&gt;95%</w:t>
            </w:r>
          </w:p>
        </w:tc>
      </w:tr>
    </w:tbl>
    <w:p>
      <w:pPr>
        <w:pStyle w:val="5"/>
        <w:spacing w:before="93"/>
      </w:pPr>
    </w:p>
    <w:tbl>
      <w:tblPr>
        <w:tblStyle w:val="15"/>
        <w:tblpPr w:leftFromText="180" w:rightFromText="180" w:vertAnchor="text" w:horzAnchor="page" w:tblpX="1281" w:tblpY="952"/>
        <w:tblOverlap w:val="never"/>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09"/>
        <w:gridCol w:w="358"/>
        <w:gridCol w:w="1055"/>
        <w:gridCol w:w="1705"/>
        <w:gridCol w:w="1843"/>
        <w:gridCol w:w="252"/>
        <w:gridCol w:w="624"/>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575" w:type="dxa"/>
            <w:gridSpan w:val="9"/>
            <w:shd w:val="clear" w:color="auto" w:fill="auto"/>
            <w:vAlign w:val="center"/>
          </w:tcPr>
          <w:p>
            <w:pPr>
              <w:widowControl/>
              <w:jc w:val="center"/>
              <w:textAlignment w:val="center"/>
              <w:rPr>
                <w:rFonts w:ascii="黑体" w:hAnsi="黑体" w:eastAsia="黑体" w:cs="黑体"/>
                <w:sz w:val="44"/>
                <w:szCs w:val="44"/>
              </w:rPr>
            </w:pPr>
            <w:r>
              <w:rPr>
                <w:rFonts w:hint="eastAsia" w:ascii="黑体" w:hAnsi="黑体" w:eastAsia="黑体" w:cs="黑体"/>
                <w:sz w:val="44"/>
                <w:szCs w:val="44"/>
              </w:rPr>
              <w:t>2021年部门预算项目绩效目标自评表（二）</w:t>
            </w:r>
          </w:p>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广元市就业和社会保障公共服务信息系统电费</w:t>
            </w:r>
            <w:r>
              <w:rPr>
                <w:rFonts w:hint="eastAsia" w:ascii="仿宋_GB2312" w:hAnsi="仿宋_GB2312" w:eastAsia="仿宋_GB2312" w:cs="仿宋_GB2312"/>
                <w:sz w:val="32"/>
                <w:szCs w:val="32"/>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810"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主管部门及代码</w:t>
            </w:r>
          </w:p>
        </w:tc>
        <w:tc>
          <w:tcPr>
            <w:tcW w:w="3118" w:type="dxa"/>
            <w:gridSpan w:val="3"/>
            <w:shd w:val="clear" w:color="auto" w:fill="auto"/>
            <w:vAlign w:val="center"/>
          </w:tcPr>
          <w:p>
            <w:pPr>
              <w:widowControl/>
              <w:spacing w:line="32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342-广元市人力资源和社会保障局</w:t>
            </w:r>
          </w:p>
        </w:tc>
        <w:tc>
          <w:tcPr>
            <w:tcW w:w="2095"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实施单位</w:t>
            </w:r>
          </w:p>
        </w:tc>
        <w:tc>
          <w:tcPr>
            <w:tcW w:w="2552"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广元市人力资源和社会保障局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项目预算</w:t>
            </w:r>
          </w:p>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执行情况</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（万元）</w:t>
            </w: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p>
        </w:tc>
        <w:tc>
          <w:tcPr>
            <w:tcW w:w="1705"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40</w:t>
            </w:r>
          </w:p>
        </w:tc>
        <w:tc>
          <w:tcPr>
            <w:tcW w:w="2095"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 xml:space="preserve"> 执行数：</w:t>
            </w:r>
          </w:p>
        </w:tc>
        <w:tc>
          <w:tcPr>
            <w:tcW w:w="2552"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1705"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40</w:t>
            </w:r>
          </w:p>
        </w:tc>
        <w:tc>
          <w:tcPr>
            <w:tcW w:w="2095"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52" w:type="dxa"/>
            <w:gridSpan w:val="2"/>
            <w:shd w:val="clear" w:color="auto" w:fill="auto"/>
            <w:vAlign w:val="center"/>
          </w:tcPr>
          <w:p>
            <w:pPr>
              <w:widowControl/>
              <w:spacing w:line="32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705"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0</w:t>
            </w:r>
          </w:p>
        </w:tc>
        <w:tc>
          <w:tcPr>
            <w:tcW w:w="2719" w:type="dxa"/>
            <w:gridSpan w:val="3"/>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28"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1101" w:type="dxa"/>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年度总体目标</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完成情况</w:t>
            </w:r>
          </w:p>
        </w:tc>
        <w:tc>
          <w:tcPr>
            <w:tcW w:w="3827"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4647"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1101" w:type="dxa"/>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3827" w:type="dxa"/>
            <w:gridSpan w:val="4"/>
            <w:shd w:val="clear" w:color="auto" w:fill="auto"/>
          </w:tcPr>
          <w:p>
            <w:pPr>
              <w:widowControl/>
              <w:spacing w:line="320" w:lineRule="exact"/>
              <w:jc w:val="left"/>
              <w:textAlignment w:val="top"/>
              <w:rPr>
                <w:rFonts w:cs="宋体" w:asciiTheme="minorEastAsia" w:hAnsiTheme="minorEastAsia" w:eastAsiaTheme="minorEastAsia"/>
                <w:sz w:val="24"/>
              </w:rPr>
            </w:pPr>
            <w:r>
              <w:rPr>
                <w:rFonts w:hint="eastAsia" w:cs="宋体" w:asciiTheme="minorEastAsia" w:hAnsiTheme="minorEastAsia" w:eastAsiaTheme="minorEastAsia"/>
                <w:kern w:val="0"/>
                <w:sz w:val="24"/>
              </w:rPr>
              <w:t>确保我市就业和社会保障公共服务信息系统安全稳定运行及就业和社会保障业务正常开展的供电。</w:t>
            </w:r>
          </w:p>
        </w:tc>
        <w:tc>
          <w:tcPr>
            <w:tcW w:w="4647" w:type="dxa"/>
            <w:gridSpan w:val="4"/>
            <w:shd w:val="clear" w:color="auto" w:fill="auto"/>
          </w:tcPr>
          <w:p>
            <w:pPr>
              <w:widowControl/>
              <w:spacing w:line="320" w:lineRule="exact"/>
              <w:jc w:val="center"/>
              <w:textAlignment w:val="top"/>
              <w:rPr>
                <w:rFonts w:cs="宋体" w:asciiTheme="minorEastAsia" w:hAnsiTheme="minorEastAsia" w:eastAsiaTheme="minorEastAsia"/>
                <w:sz w:val="24"/>
              </w:rPr>
            </w:pPr>
          </w:p>
          <w:p>
            <w:pPr>
              <w:widowControl/>
              <w:spacing w:line="320" w:lineRule="exact"/>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01" w:type="dxa"/>
            <w:vMerge w:val="restart"/>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年度绩效指标完成情况</w:t>
            </w:r>
          </w:p>
        </w:tc>
        <w:tc>
          <w:tcPr>
            <w:tcW w:w="1067"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055"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705"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843" w:type="dxa"/>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预期指标值</w:t>
            </w:r>
          </w:p>
        </w:tc>
        <w:tc>
          <w:tcPr>
            <w:tcW w:w="2804" w:type="dxa"/>
            <w:gridSpan w:val="3"/>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完成</w:t>
            </w:r>
          </w:p>
          <w:p>
            <w:pPr>
              <w:widowControl/>
              <w:spacing w:line="320" w:lineRule="exact"/>
              <w:jc w:val="center"/>
              <w:textAlignment w:val="bottom"/>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05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数量指标</w:t>
            </w:r>
          </w:p>
        </w:tc>
        <w:tc>
          <w:tcPr>
            <w:tcW w:w="170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中心机房供电</w:t>
            </w:r>
          </w:p>
        </w:tc>
        <w:tc>
          <w:tcPr>
            <w:tcW w:w="1843"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100万度/年</w:t>
            </w:r>
          </w:p>
        </w:tc>
        <w:tc>
          <w:tcPr>
            <w:tcW w:w="2804" w:type="dxa"/>
            <w:gridSpan w:val="3"/>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100万度/年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05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质量指标</w:t>
            </w:r>
          </w:p>
        </w:tc>
        <w:tc>
          <w:tcPr>
            <w:tcW w:w="170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中心机房供电</w:t>
            </w:r>
          </w:p>
        </w:tc>
        <w:tc>
          <w:tcPr>
            <w:tcW w:w="1843"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100%</w:t>
            </w:r>
          </w:p>
        </w:tc>
        <w:tc>
          <w:tcPr>
            <w:tcW w:w="2804" w:type="dxa"/>
            <w:gridSpan w:val="3"/>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05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时效指标</w:t>
            </w:r>
          </w:p>
        </w:tc>
        <w:tc>
          <w:tcPr>
            <w:tcW w:w="170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完成时间</w:t>
            </w:r>
          </w:p>
        </w:tc>
        <w:tc>
          <w:tcPr>
            <w:tcW w:w="1843"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2021年12月前</w:t>
            </w:r>
          </w:p>
        </w:tc>
        <w:tc>
          <w:tcPr>
            <w:tcW w:w="2804" w:type="dxa"/>
            <w:gridSpan w:val="3"/>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2021年12月前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vMerge w:val="continue"/>
            <w:shd w:val="clear" w:color="auto" w:fill="auto"/>
            <w:vAlign w:val="bottom"/>
          </w:tcPr>
          <w:p>
            <w:pPr>
              <w:spacing w:line="320" w:lineRule="exact"/>
              <w:jc w:val="center"/>
              <w:rPr>
                <w:rFonts w:cs="仿宋_GB2312" w:asciiTheme="minorEastAsia" w:hAnsiTheme="minorEastAsia" w:eastAsiaTheme="minorEastAsia"/>
                <w:sz w:val="24"/>
              </w:rPr>
            </w:pPr>
          </w:p>
        </w:tc>
        <w:tc>
          <w:tcPr>
            <w:tcW w:w="1055" w:type="dxa"/>
            <w:shd w:val="clear" w:color="auto" w:fill="auto"/>
            <w:vAlign w:val="bottom"/>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成本指标</w:t>
            </w:r>
          </w:p>
        </w:tc>
        <w:tc>
          <w:tcPr>
            <w:tcW w:w="1705"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电费电价</w:t>
            </w:r>
          </w:p>
        </w:tc>
        <w:tc>
          <w:tcPr>
            <w:tcW w:w="1843" w:type="dxa"/>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0.6元/度</w:t>
            </w:r>
          </w:p>
        </w:tc>
        <w:tc>
          <w:tcPr>
            <w:tcW w:w="2804" w:type="dxa"/>
            <w:gridSpan w:val="3"/>
            <w:shd w:val="clear" w:color="auto" w:fill="auto"/>
            <w:vAlign w:val="center"/>
          </w:tcPr>
          <w:p>
            <w:pPr>
              <w:widowControl/>
              <w:jc w:val="center"/>
              <w:textAlignment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0.6元/度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效益指标</w:t>
            </w:r>
          </w:p>
        </w:tc>
        <w:tc>
          <w:tcPr>
            <w:tcW w:w="1055" w:type="dxa"/>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社会效益指标</w:t>
            </w:r>
          </w:p>
        </w:tc>
        <w:tc>
          <w:tcPr>
            <w:tcW w:w="1705" w:type="dxa"/>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保障社会保险系统供电</w:t>
            </w:r>
          </w:p>
        </w:tc>
        <w:tc>
          <w:tcPr>
            <w:tcW w:w="1843" w:type="dxa"/>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持续保障社会保险系统供电</w:t>
            </w:r>
          </w:p>
        </w:tc>
        <w:tc>
          <w:tcPr>
            <w:tcW w:w="2804" w:type="dxa"/>
            <w:gridSpan w:val="3"/>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067" w:type="dxa"/>
            <w:gridSpan w:val="2"/>
            <w:shd w:val="clear" w:color="auto" w:fill="auto"/>
            <w:vAlign w:val="bottom"/>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满意度</w:t>
            </w:r>
          </w:p>
          <w:p>
            <w:pPr>
              <w:spacing w:line="320" w:lineRule="exact"/>
              <w:jc w:val="center"/>
              <w:rPr>
                <w:rFonts w:cs="仿宋_GB2312" w:asciiTheme="minorEastAsia" w:hAnsiTheme="minorEastAsia" w:eastAsiaTheme="minorEastAsia"/>
                <w:sz w:val="24"/>
              </w:rPr>
            </w:pPr>
            <w:r>
              <w:rPr>
                <w:rFonts w:hint="eastAsia" w:cs="宋体" w:asciiTheme="minorEastAsia" w:hAnsiTheme="minorEastAsia" w:eastAsiaTheme="minorEastAsia"/>
                <w:color w:val="000000"/>
                <w:kern w:val="0"/>
                <w:sz w:val="24"/>
              </w:rPr>
              <w:t>指标</w:t>
            </w:r>
          </w:p>
        </w:tc>
        <w:tc>
          <w:tcPr>
            <w:tcW w:w="1055" w:type="dxa"/>
            <w:shd w:val="clear" w:color="auto" w:fill="auto"/>
            <w:vAlign w:val="bottom"/>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满意度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指标</w:t>
            </w:r>
          </w:p>
        </w:tc>
        <w:tc>
          <w:tcPr>
            <w:tcW w:w="1705" w:type="dxa"/>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服务满意度</w:t>
            </w:r>
          </w:p>
        </w:tc>
        <w:tc>
          <w:tcPr>
            <w:tcW w:w="1843" w:type="dxa"/>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100%</w:t>
            </w:r>
          </w:p>
        </w:tc>
        <w:tc>
          <w:tcPr>
            <w:tcW w:w="2804" w:type="dxa"/>
            <w:gridSpan w:val="3"/>
            <w:shd w:val="clear" w:color="auto" w:fill="auto"/>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100%</w:t>
            </w:r>
          </w:p>
        </w:tc>
      </w:tr>
    </w:tbl>
    <w:p>
      <w:pPr>
        <w:pStyle w:val="5"/>
        <w:spacing w:before="93"/>
      </w:pPr>
    </w:p>
    <w:tbl>
      <w:tblPr>
        <w:tblStyle w:val="15"/>
        <w:tblpPr w:leftFromText="180" w:rightFromText="180" w:vertAnchor="text" w:horzAnchor="page" w:tblpX="1317" w:tblpY="1577"/>
        <w:tblOverlap w:val="never"/>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09"/>
        <w:gridCol w:w="141"/>
        <w:gridCol w:w="1272"/>
        <w:gridCol w:w="2533"/>
        <w:gridCol w:w="1267"/>
        <w:gridCol w:w="358"/>
        <w:gridCol w:w="266"/>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575" w:type="dxa"/>
            <w:gridSpan w:val="9"/>
            <w:shd w:val="clear" w:color="auto" w:fill="auto"/>
            <w:vAlign w:val="center"/>
          </w:tcPr>
          <w:p>
            <w:pPr>
              <w:widowControl/>
              <w:jc w:val="center"/>
              <w:textAlignment w:val="center"/>
              <w:rPr>
                <w:rFonts w:ascii="黑体" w:hAnsi="黑体" w:eastAsia="黑体" w:cs="黑体"/>
                <w:sz w:val="44"/>
                <w:szCs w:val="44"/>
              </w:rPr>
            </w:pPr>
            <w:r>
              <w:rPr>
                <w:rFonts w:hint="eastAsia" w:ascii="黑体" w:hAnsi="黑体" w:eastAsia="黑体" w:cs="黑体"/>
                <w:sz w:val="44"/>
                <w:szCs w:val="44"/>
              </w:rPr>
              <w:t>2021年部门预算项目绩效目标自评表（三）</w:t>
            </w:r>
          </w:p>
          <w:p>
            <w:pPr>
              <w:widowControl/>
              <w:jc w:val="center"/>
              <w:textAlignment w:val="center"/>
              <w:rPr>
                <w:rFonts w:eastAsia="方正仿宋简体"/>
              </w:rPr>
            </w:pPr>
            <w:r>
              <w:rPr>
                <w:rFonts w:hint="eastAsia" w:ascii="仿宋_GB2312" w:hAnsi="仿宋_GB2312" w:eastAsia="仿宋_GB2312" w:cs="仿宋_GB2312"/>
                <w:sz w:val="32"/>
                <w:szCs w:val="32"/>
                <w:lang w:val="zh-CN"/>
              </w:rPr>
              <w:t>（依法行政经费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810"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主管部门及代码</w:t>
            </w:r>
          </w:p>
        </w:tc>
        <w:tc>
          <w:tcPr>
            <w:tcW w:w="3946" w:type="dxa"/>
            <w:gridSpan w:val="3"/>
            <w:shd w:val="clear" w:color="auto" w:fill="auto"/>
            <w:vAlign w:val="center"/>
          </w:tcPr>
          <w:p>
            <w:pPr>
              <w:widowControl/>
              <w:spacing w:line="32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342-广元市人力资源和社会保障局</w:t>
            </w:r>
          </w:p>
        </w:tc>
        <w:tc>
          <w:tcPr>
            <w:tcW w:w="1267"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实施单位</w:t>
            </w:r>
          </w:p>
        </w:tc>
        <w:tc>
          <w:tcPr>
            <w:tcW w:w="2552" w:type="dxa"/>
            <w:gridSpan w:val="3"/>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广元市人力资源和社会保障局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项目预算</w:t>
            </w:r>
          </w:p>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执行情况</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（万元）</w:t>
            </w: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p>
        </w:tc>
        <w:tc>
          <w:tcPr>
            <w:tcW w:w="2533"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267" w:type="dxa"/>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 xml:space="preserve"> 执行数：</w:t>
            </w:r>
          </w:p>
        </w:tc>
        <w:tc>
          <w:tcPr>
            <w:tcW w:w="2552" w:type="dxa"/>
            <w:gridSpan w:val="3"/>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33"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267" w:type="dxa"/>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52" w:type="dxa"/>
            <w:gridSpan w:val="3"/>
            <w:shd w:val="clear" w:color="auto" w:fill="auto"/>
            <w:vAlign w:val="center"/>
          </w:tcPr>
          <w:p>
            <w:pPr>
              <w:widowControl/>
              <w:spacing w:line="32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2533" w:type="dxa"/>
            <w:shd w:val="clear" w:color="auto" w:fill="auto"/>
            <w:vAlign w:val="center"/>
          </w:tcPr>
          <w:p>
            <w:pPr>
              <w:widowControl/>
              <w:spacing w:line="320" w:lineRule="exact"/>
              <w:jc w:val="left"/>
              <w:textAlignment w:val="center"/>
              <w:rPr>
                <w:rFonts w:cs="宋体" w:asciiTheme="minorEastAsia" w:hAnsiTheme="minorEastAsia" w:eastAsiaTheme="minorEastAsia"/>
                <w:sz w:val="24"/>
              </w:rPr>
            </w:pPr>
          </w:p>
        </w:tc>
        <w:tc>
          <w:tcPr>
            <w:tcW w:w="1891" w:type="dxa"/>
            <w:gridSpan w:val="3"/>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28"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1101" w:type="dxa"/>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年度总体目标</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完成情况</w:t>
            </w:r>
          </w:p>
        </w:tc>
        <w:tc>
          <w:tcPr>
            <w:tcW w:w="4655"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3819"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1101" w:type="dxa"/>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4655" w:type="dxa"/>
            <w:gridSpan w:val="4"/>
            <w:shd w:val="clear" w:color="auto" w:fill="auto"/>
          </w:tcPr>
          <w:p>
            <w:pPr>
              <w:widowControl/>
              <w:spacing w:line="320" w:lineRule="exact"/>
              <w:jc w:val="left"/>
              <w:textAlignment w:val="top"/>
              <w:rPr>
                <w:rFonts w:hint="eastAsia" w:cs="宋体" w:asciiTheme="minorEastAsia" w:hAnsiTheme="minorEastAsia" w:eastAsiaTheme="minorEastAsia"/>
                <w:kern w:val="0"/>
                <w:sz w:val="24"/>
              </w:rPr>
            </w:pPr>
          </w:p>
          <w:p>
            <w:pPr>
              <w:widowControl/>
              <w:spacing w:line="320" w:lineRule="exact"/>
              <w:jc w:val="left"/>
              <w:textAlignment w:val="top"/>
              <w:rPr>
                <w:rFonts w:cs="宋体" w:asciiTheme="minorEastAsia" w:hAnsiTheme="minorEastAsia" w:eastAsiaTheme="minorEastAsia"/>
                <w:sz w:val="24"/>
              </w:rPr>
            </w:pPr>
            <w:r>
              <w:rPr>
                <w:rFonts w:hint="eastAsia" w:cs="宋体" w:asciiTheme="minorEastAsia" w:hAnsiTheme="minorEastAsia" w:eastAsiaTheme="minorEastAsia"/>
                <w:kern w:val="0"/>
                <w:sz w:val="24"/>
              </w:rPr>
              <w:t>做好2021年行政复议和行政应诉工作。</w:t>
            </w:r>
          </w:p>
        </w:tc>
        <w:tc>
          <w:tcPr>
            <w:tcW w:w="3819" w:type="dxa"/>
            <w:gridSpan w:val="4"/>
            <w:shd w:val="clear" w:color="auto" w:fill="auto"/>
          </w:tcPr>
          <w:p>
            <w:pPr>
              <w:widowControl/>
              <w:spacing w:line="320" w:lineRule="exact"/>
              <w:jc w:val="center"/>
              <w:textAlignment w:val="top"/>
              <w:rPr>
                <w:rFonts w:cs="宋体" w:asciiTheme="minorEastAsia" w:hAnsiTheme="minorEastAsia" w:eastAsiaTheme="minorEastAsia"/>
                <w:sz w:val="24"/>
              </w:rPr>
            </w:pPr>
          </w:p>
          <w:p>
            <w:pPr>
              <w:widowControl/>
              <w:spacing w:line="320" w:lineRule="exact"/>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01" w:type="dxa"/>
            <w:vMerge w:val="restart"/>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年度绩效指标完成情况</w:t>
            </w:r>
          </w:p>
        </w:tc>
        <w:tc>
          <w:tcPr>
            <w:tcW w:w="850"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272"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2533"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625"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预期指标值</w:t>
            </w:r>
          </w:p>
        </w:tc>
        <w:tc>
          <w:tcPr>
            <w:tcW w:w="2194"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项目完成指标</w:t>
            </w: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数量指标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聘请法律顾问团队</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1个</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数量指标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行政复议和行政应诉案件</w:t>
            </w:r>
          </w:p>
        </w:tc>
        <w:tc>
          <w:tcPr>
            <w:tcW w:w="1625" w:type="dxa"/>
            <w:gridSpan w:val="2"/>
            <w:shd w:val="clear" w:color="auto" w:fill="auto"/>
            <w:vAlign w:val="center"/>
          </w:tcPr>
          <w:p>
            <w:pPr>
              <w:rPr>
                <w:rFonts w:cs="宋体" w:asciiTheme="minorEastAsia" w:hAnsiTheme="minorEastAsia" w:eastAsiaTheme="minorEastAsia"/>
                <w:color w:val="000000"/>
                <w:sz w:val="24"/>
              </w:rPr>
            </w:pPr>
            <w:r>
              <w:rPr>
                <w:rStyle w:val="34"/>
                <w:rFonts w:hint="default" w:asciiTheme="minorEastAsia" w:hAnsiTheme="minorEastAsia" w:eastAsiaTheme="minorEastAsia"/>
              </w:rPr>
              <w:t>≧</w:t>
            </w:r>
            <w:r>
              <w:rPr>
                <w:rStyle w:val="35"/>
                <w:rFonts w:hint="default" w:asciiTheme="minorEastAsia" w:hAnsiTheme="minorEastAsia" w:eastAsiaTheme="minorEastAsia"/>
                <w:sz w:val="24"/>
                <w:szCs w:val="24"/>
              </w:rPr>
              <w:t>100件</w:t>
            </w:r>
          </w:p>
        </w:tc>
        <w:tc>
          <w:tcPr>
            <w:tcW w:w="2194" w:type="dxa"/>
            <w:gridSpan w:val="2"/>
            <w:shd w:val="clear" w:color="auto" w:fill="auto"/>
            <w:vAlign w:val="center"/>
          </w:tcPr>
          <w:p>
            <w:pPr>
              <w:rPr>
                <w:rFonts w:cs="宋体" w:asciiTheme="minorEastAsia" w:hAnsiTheme="minorEastAsia" w:eastAsiaTheme="minorEastAsia"/>
                <w:color w:val="000000"/>
                <w:sz w:val="24"/>
              </w:rPr>
            </w:pPr>
            <w:r>
              <w:rPr>
                <w:rStyle w:val="34"/>
                <w:rFonts w:hint="default" w:asciiTheme="minorEastAsia" w:hAnsiTheme="minorEastAsia" w:eastAsiaTheme="minorEastAsia"/>
              </w:rPr>
              <w:t>68</w:t>
            </w:r>
            <w:r>
              <w:rPr>
                <w:rStyle w:val="35"/>
                <w:rFonts w:hint="default" w:asciiTheme="minorEastAsia" w:hAnsiTheme="minorEastAsia" w:eastAsiaTheme="minorEastAsia"/>
                <w:sz w:val="24"/>
                <w:szCs w:val="24"/>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质量指标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依法行政工作规范率</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≧90%</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时效指标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完成时间</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2021年12月底前</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2021年12月底前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聘请法律顾问团队</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4万/个</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4万/个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开展行政复议和行政应诉工作相关调查差旅费、租车费及材料印制费用等</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400元/件</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600元/件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效益指标</w:t>
            </w: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社会效益指标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对工作促进作用</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依法行政</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依法行政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可持续影响指标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对法治人社建设作用</w:t>
            </w:r>
          </w:p>
        </w:tc>
        <w:tc>
          <w:tcPr>
            <w:tcW w:w="1625"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深入推进人社依法行政工作</w:t>
            </w:r>
          </w:p>
        </w:tc>
        <w:tc>
          <w:tcPr>
            <w:tcW w:w="2194" w:type="dxa"/>
            <w:gridSpan w:val="2"/>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深入推进人社依法行政工作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满意度指标</w:t>
            </w: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满意度指标</w:t>
            </w:r>
          </w:p>
        </w:tc>
        <w:tc>
          <w:tcPr>
            <w:tcW w:w="2533"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依法行政工作满意度</w:t>
            </w:r>
          </w:p>
        </w:tc>
        <w:tc>
          <w:tcPr>
            <w:tcW w:w="1625" w:type="dxa"/>
            <w:gridSpan w:val="2"/>
            <w:shd w:val="clear" w:color="auto" w:fill="auto"/>
            <w:vAlign w:val="center"/>
          </w:tcPr>
          <w:p>
            <w:pPr>
              <w:rPr>
                <w:rFonts w:cs="宋体" w:asciiTheme="minorEastAsia" w:hAnsiTheme="minorEastAsia" w:eastAsiaTheme="minorEastAsia"/>
                <w:color w:val="000000"/>
                <w:sz w:val="24"/>
              </w:rPr>
            </w:pPr>
            <w:r>
              <w:rPr>
                <w:rStyle w:val="34"/>
                <w:rFonts w:hint="default" w:asciiTheme="minorEastAsia" w:hAnsiTheme="minorEastAsia" w:eastAsiaTheme="minorEastAsia"/>
              </w:rPr>
              <w:t>≧</w:t>
            </w:r>
            <w:r>
              <w:rPr>
                <w:rStyle w:val="35"/>
                <w:rFonts w:hint="default" w:asciiTheme="minorEastAsia" w:hAnsiTheme="minorEastAsia" w:eastAsiaTheme="minorEastAsia"/>
                <w:sz w:val="24"/>
                <w:szCs w:val="24"/>
              </w:rPr>
              <w:t>80%</w:t>
            </w:r>
          </w:p>
        </w:tc>
        <w:tc>
          <w:tcPr>
            <w:tcW w:w="2194" w:type="dxa"/>
            <w:gridSpan w:val="2"/>
            <w:shd w:val="clear" w:color="auto" w:fill="auto"/>
            <w:vAlign w:val="center"/>
          </w:tcPr>
          <w:p>
            <w:pPr>
              <w:rPr>
                <w:rFonts w:cs="宋体" w:asciiTheme="minorEastAsia" w:hAnsiTheme="minorEastAsia" w:eastAsiaTheme="minorEastAsia"/>
                <w:color w:val="000000"/>
                <w:sz w:val="24"/>
              </w:rPr>
            </w:pPr>
            <w:r>
              <w:rPr>
                <w:rStyle w:val="34"/>
                <w:rFonts w:hint="default" w:asciiTheme="minorEastAsia" w:hAnsiTheme="minorEastAsia" w:eastAsiaTheme="minorEastAsia"/>
              </w:rPr>
              <w:t>≧</w:t>
            </w:r>
            <w:r>
              <w:rPr>
                <w:rStyle w:val="35"/>
                <w:rFonts w:hint="default" w:asciiTheme="minorEastAsia" w:hAnsiTheme="minorEastAsia" w:eastAsiaTheme="minorEastAsia"/>
                <w:sz w:val="24"/>
                <w:szCs w:val="24"/>
              </w:rPr>
              <w:t>80%</w:t>
            </w:r>
          </w:p>
        </w:tc>
      </w:tr>
    </w:tbl>
    <w:p>
      <w:pPr>
        <w:adjustRightInd w:val="0"/>
        <w:snapToGrid w:val="0"/>
        <w:spacing w:line="580" w:lineRule="exact"/>
        <w:rPr>
          <w:rFonts w:ascii="仿宋_GB2312" w:hAnsi="仿宋_GB2312" w:eastAsia="仿宋_GB2312" w:cs="仿宋_GB2312"/>
          <w:sz w:val="32"/>
          <w:szCs w:val="32"/>
        </w:rPr>
      </w:pPr>
    </w:p>
    <w:tbl>
      <w:tblPr>
        <w:tblStyle w:val="15"/>
        <w:tblpPr w:leftFromText="180" w:rightFromText="180" w:vertAnchor="text" w:horzAnchor="page" w:tblpX="1317" w:tblpY="1577"/>
        <w:tblOverlap w:val="never"/>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09"/>
        <w:gridCol w:w="141"/>
        <w:gridCol w:w="1272"/>
        <w:gridCol w:w="2272"/>
        <w:gridCol w:w="1528"/>
        <w:gridCol w:w="315"/>
        <w:gridCol w:w="43"/>
        <w:gridCol w:w="266"/>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575" w:type="dxa"/>
            <w:gridSpan w:val="10"/>
            <w:shd w:val="clear" w:color="auto" w:fill="auto"/>
            <w:vAlign w:val="center"/>
          </w:tcPr>
          <w:p>
            <w:pPr>
              <w:widowControl/>
              <w:jc w:val="center"/>
              <w:textAlignment w:val="center"/>
              <w:rPr>
                <w:rFonts w:ascii="黑体" w:hAnsi="黑体" w:eastAsia="黑体" w:cs="黑体"/>
                <w:sz w:val="44"/>
                <w:szCs w:val="44"/>
              </w:rPr>
            </w:pPr>
            <w:r>
              <w:rPr>
                <w:rFonts w:hint="eastAsia" w:ascii="黑体" w:hAnsi="黑体" w:eastAsia="黑体" w:cs="黑体"/>
                <w:sz w:val="44"/>
                <w:szCs w:val="44"/>
              </w:rPr>
              <w:t>2021年部门预算项目绩效目标自评表（四）</w:t>
            </w:r>
          </w:p>
          <w:p>
            <w:pPr>
              <w:widowControl/>
              <w:jc w:val="center"/>
              <w:textAlignment w:val="center"/>
              <w:rPr>
                <w:rFonts w:eastAsia="方正仿宋简体"/>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w w:val="90"/>
                <w:sz w:val="32"/>
                <w:szCs w:val="32"/>
              </w:rPr>
              <w:t>技能大师工作室、技工院校教师职称、培训结构设立、变更工种、地址等评审经费项目</w:t>
            </w:r>
            <w:r>
              <w:rPr>
                <w:rFonts w:hint="eastAsia" w:ascii="仿宋_GB2312" w:hAnsi="仿宋_GB2312" w:eastAsia="仿宋_GB2312" w:cs="仿宋_GB2312"/>
                <w:sz w:val="32"/>
                <w:szCs w:val="3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810"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主管部门及代码</w:t>
            </w:r>
          </w:p>
        </w:tc>
        <w:tc>
          <w:tcPr>
            <w:tcW w:w="3685" w:type="dxa"/>
            <w:gridSpan w:val="3"/>
            <w:shd w:val="clear" w:color="auto" w:fill="auto"/>
            <w:vAlign w:val="center"/>
          </w:tcPr>
          <w:p>
            <w:pPr>
              <w:widowControl/>
              <w:spacing w:line="32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342-广元市人力资源和社会保障局</w:t>
            </w:r>
          </w:p>
        </w:tc>
        <w:tc>
          <w:tcPr>
            <w:tcW w:w="1528"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实施单位</w:t>
            </w:r>
          </w:p>
        </w:tc>
        <w:tc>
          <w:tcPr>
            <w:tcW w:w="2552" w:type="dxa"/>
            <w:gridSpan w:val="4"/>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广元市人力资源和社会保障局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项目预算</w:t>
            </w:r>
          </w:p>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执行情况</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（万元）</w:t>
            </w: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p>
        </w:tc>
        <w:tc>
          <w:tcPr>
            <w:tcW w:w="2272"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528" w:type="dxa"/>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 xml:space="preserve"> 执行数：</w:t>
            </w:r>
          </w:p>
        </w:tc>
        <w:tc>
          <w:tcPr>
            <w:tcW w:w="2552"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272" w:type="dxa"/>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528" w:type="dxa"/>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52" w:type="dxa"/>
            <w:gridSpan w:val="4"/>
            <w:shd w:val="clear" w:color="auto" w:fill="auto"/>
            <w:vAlign w:val="center"/>
          </w:tcPr>
          <w:p>
            <w:pPr>
              <w:widowControl/>
              <w:spacing w:line="32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2272" w:type="dxa"/>
            <w:shd w:val="clear" w:color="auto" w:fill="auto"/>
            <w:vAlign w:val="center"/>
          </w:tcPr>
          <w:p>
            <w:pPr>
              <w:widowControl/>
              <w:spacing w:line="320" w:lineRule="exact"/>
              <w:jc w:val="left"/>
              <w:textAlignment w:val="center"/>
              <w:rPr>
                <w:rFonts w:cs="宋体" w:asciiTheme="minorEastAsia" w:hAnsiTheme="minorEastAsia" w:eastAsiaTheme="minorEastAsia"/>
                <w:sz w:val="24"/>
              </w:rPr>
            </w:pPr>
          </w:p>
        </w:tc>
        <w:tc>
          <w:tcPr>
            <w:tcW w:w="2152" w:type="dxa"/>
            <w:gridSpan w:val="4"/>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28"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1101" w:type="dxa"/>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年度总体目标</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完成情况</w:t>
            </w:r>
          </w:p>
        </w:tc>
        <w:tc>
          <w:tcPr>
            <w:tcW w:w="4394"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4080" w:type="dxa"/>
            <w:gridSpan w:val="5"/>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1101" w:type="dxa"/>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4394" w:type="dxa"/>
            <w:gridSpan w:val="4"/>
            <w:shd w:val="clear" w:color="auto" w:fill="auto"/>
          </w:tcPr>
          <w:p>
            <w:pPr>
              <w:widowControl/>
              <w:spacing w:line="320" w:lineRule="exact"/>
              <w:jc w:val="left"/>
              <w:textAlignment w:val="top"/>
              <w:rPr>
                <w:rFonts w:cs="宋体" w:asciiTheme="minorEastAsia" w:hAnsiTheme="minorEastAsia" w:eastAsiaTheme="minorEastAsia"/>
                <w:sz w:val="24"/>
              </w:rPr>
            </w:pPr>
            <w:r>
              <w:rPr>
                <w:rFonts w:hint="eastAsia" w:cs="宋体" w:asciiTheme="minorEastAsia" w:hAnsiTheme="minorEastAsia" w:eastAsiaTheme="minorEastAsia"/>
                <w:kern w:val="0"/>
                <w:sz w:val="24"/>
              </w:rPr>
              <w:t>通过开展技能大师工作室评审、民办培训学校审批和技工学校教师专业技术职务评审工作，切实加强职业培训健康发展，促进劳动者技能成才，技能就业；强化专业技术人才队伍建设管理，规范专业技术职务评审工作。</w:t>
            </w:r>
          </w:p>
        </w:tc>
        <w:tc>
          <w:tcPr>
            <w:tcW w:w="4080" w:type="dxa"/>
            <w:gridSpan w:val="5"/>
            <w:shd w:val="clear" w:color="auto" w:fill="auto"/>
          </w:tcPr>
          <w:p>
            <w:pPr>
              <w:widowControl/>
              <w:spacing w:line="320" w:lineRule="exact"/>
              <w:jc w:val="center"/>
              <w:textAlignment w:val="top"/>
              <w:rPr>
                <w:rFonts w:cs="宋体" w:asciiTheme="minorEastAsia" w:hAnsiTheme="minorEastAsia" w:eastAsiaTheme="minorEastAsia"/>
                <w:sz w:val="24"/>
              </w:rPr>
            </w:pPr>
          </w:p>
          <w:p>
            <w:pPr>
              <w:widowControl/>
              <w:spacing w:line="320" w:lineRule="exact"/>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01" w:type="dxa"/>
            <w:vMerge w:val="restart"/>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年度绩效指标完成情况</w:t>
            </w:r>
          </w:p>
        </w:tc>
        <w:tc>
          <w:tcPr>
            <w:tcW w:w="850"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272"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2272"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886" w:type="dxa"/>
            <w:gridSpan w:val="3"/>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预期指标值</w:t>
            </w:r>
          </w:p>
        </w:tc>
        <w:tc>
          <w:tcPr>
            <w:tcW w:w="2194"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项目完成指标</w:t>
            </w: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数量指标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技能大师工作室评审</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聘请5名专家，每个县区1天</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邀请5名专家开展第四批技能大师工作室评审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tcPr>
          <w:p>
            <w:r>
              <w:rPr>
                <w:rFonts w:hint="eastAsia" w:asciiTheme="minorEastAsia" w:hAnsiTheme="minorEastAsia" w:eastAsiaTheme="minorEastAsia"/>
                <w:color w:val="000000"/>
                <w:sz w:val="24"/>
              </w:rPr>
              <w:t>数量指标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技工学校教师专业技术职务评审工作专家评审</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每个专业聘请3名评审专家，预计至少15个专业</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共有22个专业老师申报职称评审，共聘请专家15名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tcPr>
          <w:p>
            <w:r>
              <w:rPr>
                <w:rFonts w:hint="eastAsia" w:asciiTheme="minorEastAsia" w:hAnsiTheme="minorEastAsia" w:eastAsiaTheme="minorEastAsia"/>
                <w:color w:val="000000"/>
                <w:sz w:val="24"/>
              </w:rPr>
              <w:t>数量指标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民办培训学校审批工作专家评审</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每申请增加1个工种需要请3名专家，估计至少40个工种以上</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增加114个工种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时效指标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完成时间</w:t>
            </w:r>
          </w:p>
        </w:tc>
        <w:tc>
          <w:tcPr>
            <w:tcW w:w="1886" w:type="dxa"/>
            <w:gridSpan w:val="3"/>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2021年12月底前</w:t>
            </w:r>
          </w:p>
        </w:tc>
        <w:tc>
          <w:tcPr>
            <w:tcW w:w="2194" w:type="dxa"/>
            <w:gridSpan w:val="2"/>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2021年12月底前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技能大师工作室评审</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1.75万元</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1.75万元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技工学校教师专业技术职务评审工作专家评审费</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2万元</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民办培训学校审批工作专家评审费</w:t>
            </w:r>
          </w:p>
        </w:tc>
        <w:tc>
          <w:tcPr>
            <w:tcW w:w="1886"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6万元</w:t>
            </w:r>
          </w:p>
        </w:tc>
        <w:tc>
          <w:tcPr>
            <w:tcW w:w="2194"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效益指标</w:t>
            </w: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社会效益指标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办人民满意的技工教育，进一步推动职业能力提升培训</w:t>
            </w:r>
          </w:p>
        </w:tc>
        <w:tc>
          <w:tcPr>
            <w:tcW w:w="1843"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办人民满意的技工教育，进一步推动职业能力提升培训</w:t>
            </w:r>
          </w:p>
        </w:tc>
        <w:tc>
          <w:tcPr>
            <w:tcW w:w="2237"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进一步推动职业能力提升培训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可持续影响指标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提升劳动者职业技能水平</w:t>
            </w:r>
          </w:p>
        </w:tc>
        <w:tc>
          <w:tcPr>
            <w:tcW w:w="1843" w:type="dxa"/>
            <w:gridSpan w:val="2"/>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可持续</w:t>
            </w:r>
          </w:p>
        </w:tc>
        <w:tc>
          <w:tcPr>
            <w:tcW w:w="2237" w:type="dxa"/>
            <w:gridSpan w:val="3"/>
            <w:shd w:val="clear" w:color="auto" w:fill="auto"/>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可持续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restart"/>
            <w:shd w:val="clear" w:color="auto" w:fill="auto"/>
            <w:vAlign w:val="center"/>
          </w:tcPr>
          <w:p>
            <w:pPr>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满意度指标</w:t>
            </w:r>
          </w:p>
        </w:tc>
        <w:tc>
          <w:tcPr>
            <w:tcW w:w="1272" w:type="dxa"/>
            <w:vMerge w:val="restart"/>
            <w:shd w:val="clear" w:color="auto" w:fill="auto"/>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满意度指标</w:t>
            </w: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服务对象满意度</w:t>
            </w:r>
          </w:p>
        </w:tc>
        <w:tc>
          <w:tcPr>
            <w:tcW w:w="1843" w:type="dxa"/>
            <w:gridSpan w:val="2"/>
            <w:shd w:val="clear" w:color="auto" w:fill="auto"/>
            <w:vAlign w:val="center"/>
          </w:tcPr>
          <w:p>
            <w:pPr>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100%</w:t>
            </w:r>
          </w:p>
        </w:tc>
        <w:tc>
          <w:tcPr>
            <w:tcW w:w="2237" w:type="dxa"/>
            <w:gridSpan w:val="3"/>
            <w:shd w:val="clear" w:color="auto" w:fill="auto"/>
            <w:vAlign w:val="center"/>
          </w:tcPr>
          <w:p>
            <w:pPr>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850"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2" w:type="dxa"/>
            <w:vMerge w:val="continue"/>
            <w:shd w:val="clear" w:color="auto" w:fill="auto"/>
            <w:vAlign w:val="center"/>
          </w:tcPr>
          <w:p>
            <w:pPr>
              <w:jc w:val="center"/>
              <w:rPr>
                <w:rFonts w:cs="宋体" w:asciiTheme="minorEastAsia" w:hAnsiTheme="minorEastAsia" w:eastAsiaTheme="minorEastAsia"/>
                <w:color w:val="000000"/>
                <w:sz w:val="24"/>
              </w:rPr>
            </w:pPr>
          </w:p>
        </w:tc>
        <w:tc>
          <w:tcPr>
            <w:tcW w:w="2272" w:type="dxa"/>
            <w:shd w:val="clear" w:color="auto" w:fill="auto"/>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管理部门满意度</w:t>
            </w:r>
          </w:p>
        </w:tc>
        <w:tc>
          <w:tcPr>
            <w:tcW w:w="1843" w:type="dxa"/>
            <w:gridSpan w:val="2"/>
            <w:shd w:val="clear" w:color="auto" w:fill="auto"/>
            <w:vAlign w:val="center"/>
          </w:tcPr>
          <w:p>
            <w:pPr>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100%</w:t>
            </w:r>
          </w:p>
        </w:tc>
        <w:tc>
          <w:tcPr>
            <w:tcW w:w="2237" w:type="dxa"/>
            <w:gridSpan w:val="3"/>
            <w:shd w:val="clear" w:color="auto" w:fill="auto"/>
            <w:vAlign w:val="center"/>
          </w:tcPr>
          <w:p>
            <w:pPr>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100%</w:t>
            </w:r>
          </w:p>
        </w:tc>
      </w:tr>
    </w:tbl>
    <w:p>
      <w:pPr>
        <w:rPr>
          <w:rFonts w:ascii="仿宋_GB2312" w:hAnsi="仿宋_GB2312" w:eastAsia="仿宋_GB2312" w:cs="仿宋_GB2312"/>
          <w:sz w:val="32"/>
          <w:szCs w:val="32"/>
        </w:rPr>
      </w:pPr>
    </w:p>
    <w:tbl>
      <w:tblPr>
        <w:tblStyle w:val="15"/>
        <w:tblpPr w:leftFromText="180" w:rightFromText="180" w:vertAnchor="text" w:horzAnchor="page" w:tblpX="1317" w:tblpY="1577"/>
        <w:tblOverlap w:val="never"/>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09"/>
        <w:gridCol w:w="425"/>
        <w:gridCol w:w="988"/>
        <w:gridCol w:w="287"/>
        <w:gridCol w:w="1701"/>
        <w:gridCol w:w="1812"/>
        <w:gridCol w:w="456"/>
        <w:gridCol w:w="168"/>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9575" w:type="dxa"/>
            <w:gridSpan w:val="10"/>
            <w:shd w:val="clear" w:color="auto" w:fill="auto"/>
            <w:vAlign w:val="center"/>
          </w:tcPr>
          <w:p>
            <w:pPr>
              <w:widowControl/>
              <w:jc w:val="center"/>
              <w:textAlignment w:val="center"/>
              <w:rPr>
                <w:rFonts w:ascii="黑体" w:hAnsi="黑体" w:eastAsia="黑体" w:cs="黑体"/>
                <w:sz w:val="44"/>
                <w:szCs w:val="44"/>
              </w:rPr>
            </w:pPr>
            <w:r>
              <w:rPr>
                <w:rFonts w:hint="eastAsia" w:ascii="黑体" w:hAnsi="黑体" w:eastAsia="黑体" w:cs="黑体"/>
                <w:sz w:val="44"/>
                <w:szCs w:val="44"/>
              </w:rPr>
              <w:t>2021年部门预算项目绩效目标自评表（五）</w:t>
            </w:r>
          </w:p>
          <w:p>
            <w:pPr>
              <w:widowControl/>
              <w:jc w:val="center"/>
              <w:textAlignment w:val="center"/>
              <w:rPr>
                <w:rFonts w:eastAsia="方正仿宋简体"/>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w w:val="90"/>
                <w:sz w:val="32"/>
                <w:szCs w:val="32"/>
              </w:rPr>
              <w:t>市直机关事业单位人员公开选调及招聘考务经费项目</w:t>
            </w:r>
            <w:r>
              <w:rPr>
                <w:rFonts w:hint="eastAsia" w:ascii="仿宋_GB2312" w:hAnsi="仿宋_GB2312" w:eastAsia="仿宋_GB2312" w:cs="仿宋_GB2312"/>
                <w:sz w:val="32"/>
                <w:szCs w:val="3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1810" w:type="dxa"/>
            <w:gridSpan w:val="2"/>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主管部门及代码</w:t>
            </w:r>
          </w:p>
        </w:tc>
        <w:tc>
          <w:tcPr>
            <w:tcW w:w="3401" w:type="dxa"/>
            <w:gridSpan w:val="4"/>
            <w:shd w:val="clear" w:color="auto" w:fill="auto"/>
            <w:vAlign w:val="center"/>
          </w:tcPr>
          <w:p>
            <w:pPr>
              <w:widowControl/>
              <w:spacing w:line="32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342-广元市人力资源和社会保障局</w:t>
            </w:r>
          </w:p>
        </w:tc>
        <w:tc>
          <w:tcPr>
            <w:tcW w:w="1812"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实施单位</w:t>
            </w:r>
          </w:p>
        </w:tc>
        <w:tc>
          <w:tcPr>
            <w:tcW w:w="2552" w:type="dxa"/>
            <w:gridSpan w:val="3"/>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广元市人力资源和社会保障局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项目预算</w:t>
            </w:r>
          </w:p>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执行情况</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（万元）</w:t>
            </w: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预算数：</w:t>
            </w:r>
          </w:p>
        </w:tc>
        <w:tc>
          <w:tcPr>
            <w:tcW w:w="1988" w:type="dxa"/>
            <w:gridSpan w:val="2"/>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12" w:type="dxa"/>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 xml:space="preserve"> 执行数：</w:t>
            </w:r>
          </w:p>
        </w:tc>
        <w:tc>
          <w:tcPr>
            <w:tcW w:w="2552" w:type="dxa"/>
            <w:gridSpan w:val="3"/>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1988" w:type="dxa"/>
            <w:gridSpan w:val="2"/>
            <w:shd w:val="clear" w:color="auto" w:fill="auto"/>
            <w:vAlign w:val="center"/>
          </w:tcPr>
          <w:p>
            <w:pPr>
              <w:widowControl/>
              <w:spacing w:line="320" w:lineRule="exact"/>
              <w:ind w:firstLine="480" w:firstLineChars="200"/>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12" w:type="dxa"/>
            <w:shd w:val="clear" w:color="auto" w:fill="auto"/>
            <w:vAlign w:val="center"/>
          </w:tcPr>
          <w:p>
            <w:pPr>
              <w:widowControl/>
              <w:spacing w:line="320" w:lineRule="exact"/>
              <w:jc w:val="left"/>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其中：</w:t>
            </w:r>
          </w:p>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财政拨款</w:t>
            </w:r>
          </w:p>
        </w:tc>
        <w:tc>
          <w:tcPr>
            <w:tcW w:w="2552" w:type="dxa"/>
            <w:gridSpan w:val="3"/>
            <w:shd w:val="clear" w:color="auto" w:fill="auto"/>
            <w:vAlign w:val="center"/>
          </w:tcPr>
          <w:p>
            <w:pPr>
              <w:widowControl/>
              <w:spacing w:line="320" w:lineRule="exact"/>
              <w:ind w:firstLine="960" w:firstLineChars="400"/>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810" w:type="dxa"/>
            <w:gridSpan w:val="2"/>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1413"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88" w:type="dxa"/>
            <w:gridSpan w:val="2"/>
            <w:shd w:val="clear" w:color="auto" w:fill="auto"/>
            <w:vAlign w:val="center"/>
          </w:tcPr>
          <w:p>
            <w:pPr>
              <w:widowControl/>
              <w:spacing w:line="320" w:lineRule="exact"/>
              <w:jc w:val="left"/>
              <w:textAlignment w:val="center"/>
              <w:rPr>
                <w:rFonts w:cs="宋体" w:asciiTheme="minorEastAsia" w:hAnsiTheme="minorEastAsia" w:eastAsiaTheme="minorEastAsia"/>
                <w:sz w:val="24"/>
              </w:rPr>
            </w:pPr>
          </w:p>
        </w:tc>
        <w:tc>
          <w:tcPr>
            <w:tcW w:w="2436" w:type="dxa"/>
            <w:gridSpan w:val="3"/>
            <w:shd w:val="clear" w:color="auto" w:fill="auto"/>
            <w:vAlign w:val="center"/>
          </w:tcPr>
          <w:p>
            <w:pPr>
              <w:widowControl/>
              <w:spacing w:line="320" w:lineRule="exact"/>
              <w:jc w:val="left"/>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其他资金</w:t>
            </w:r>
          </w:p>
        </w:tc>
        <w:tc>
          <w:tcPr>
            <w:tcW w:w="1928" w:type="dxa"/>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1101" w:type="dxa"/>
            <w:vMerge w:val="restart"/>
            <w:shd w:val="clear" w:color="auto" w:fill="auto"/>
            <w:vAlign w:val="center"/>
          </w:tcPr>
          <w:p>
            <w:pPr>
              <w:widowControl/>
              <w:spacing w:line="320" w:lineRule="exact"/>
              <w:jc w:val="center"/>
              <w:textAlignment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年度总体目标</w:t>
            </w:r>
          </w:p>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完成情况</w:t>
            </w:r>
          </w:p>
        </w:tc>
        <w:tc>
          <w:tcPr>
            <w:tcW w:w="4110" w:type="dxa"/>
            <w:gridSpan w:val="5"/>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预期目标</w:t>
            </w:r>
          </w:p>
        </w:tc>
        <w:tc>
          <w:tcPr>
            <w:tcW w:w="4364" w:type="dxa"/>
            <w:gridSpan w:val="4"/>
            <w:shd w:val="clear" w:color="auto" w:fill="auto"/>
            <w:vAlign w:val="center"/>
          </w:tcPr>
          <w:p>
            <w:pPr>
              <w:widowControl/>
              <w:spacing w:line="320" w:lineRule="exact"/>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1101" w:type="dxa"/>
            <w:vMerge w:val="continue"/>
            <w:shd w:val="clear" w:color="auto" w:fill="auto"/>
            <w:vAlign w:val="center"/>
          </w:tcPr>
          <w:p>
            <w:pPr>
              <w:spacing w:line="320" w:lineRule="exact"/>
              <w:jc w:val="center"/>
              <w:rPr>
                <w:rFonts w:cs="宋体" w:asciiTheme="minorEastAsia" w:hAnsiTheme="minorEastAsia" w:eastAsiaTheme="minorEastAsia"/>
                <w:sz w:val="24"/>
              </w:rPr>
            </w:pPr>
          </w:p>
        </w:tc>
        <w:tc>
          <w:tcPr>
            <w:tcW w:w="4110" w:type="dxa"/>
            <w:gridSpan w:val="5"/>
            <w:shd w:val="clear" w:color="auto" w:fill="auto"/>
          </w:tcPr>
          <w:p>
            <w:pPr>
              <w:widowControl/>
              <w:spacing w:line="320" w:lineRule="exact"/>
              <w:jc w:val="left"/>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在市委编办年度空编使用计划内，规范组织实施我市事业单位公开招聘、公开考调工作，确保事业单位工作人员补充到位。</w:t>
            </w:r>
          </w:p>
        </w:tc>
        <w:tc>
          <w:tcPr>
            <w:tcW w:w="4364" w:type="dxa"/>
            <w:gridSpan w:val="4"/>
            <w:shd w:val="clear" w:color="auto" w:fill="auto"/>
          </w:tcPr>
          <w:p>
            <w:pPr>
              <w:widowControl/>
              <w:spacing w:line="320" w:lineRule="exact"/>
              <w:jc w:val="center"/>
              <w:textAlignment w:val="top"/>
              <w:rPr>
                <w:rFonts w:cs="宋体" w:asciiTheme="minorEastAsia" w:hAnsiTheme="minorEastAsia" w:eastAsiaTheme="minorEastAsia"/>
                <w:sz w:val="24"/>
              </w:rPr>
            </w:pPr>
          </w:p>
          <w:p>
            <w:pPr>
              <w:widowControl/>
              <w:spacing w:line="320" w:lineRule="exact"/>
              <w:textAlignment w:val="top"/>
              <w:rPr>
                <w:rFonts w:cs="宋体" w:asciiTheme="minorEastAsia" w:hAnsiTheme="minorEastAsia" w:eastAsiaTheme="minorEastAsia"/>
                <w:sz w:val="24"/>
              </w:rPr>
            </w:pPr>
            <w:r>
              <w:rPr>
                <w:rFonts w:hint="eastAsia" w:cs="宋体" w:asciiTheme="minorEastAsia" w:hAnsiTheme="minorEastAsia" w:eastAsiaTheme="minorEastAsia"/>
                <w:sz w:val="24"/>
              </w:rPr>
              <w:t>已完成预期目标。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01" w:type="dxa"/>
            <w:vMerge w:val="restart"/>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pStyle w:val="5"/>
              <w:spacing w:before="93"/>
              <w:rPr>
                <w:rFonts w:asciiTheme="minorEastAsia" w:hAnsiTheme="minorEastAsia" w:eastAsiaTheme="minorEastAsia"/>
                <w:sz w:val="24"/>
              </w:rPr>
            </w:pP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年度绩效指标完成情况</w:t>
            </w:r>
          </w:p>
        </w:tc>
        <w:tc>
          <w:tcPr>
            <w:tcW w:w="1134"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275"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1701" w:type="dxa"/>
            <w:shd w:val="clear" w:color="auto" w:fill="auto"/>
            <w:vAlign w:val="center"/>
          </w:tcPr>
          <w:p>
            <w:pPr>
              <w:widowControl/>
              <w:spacing w:line="320" w:lineRule="exact"/>
              <w:jc w:val="center"/>
              <w:textAlignment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三级</w:t>
            </w:r>
          </w:p>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指标</w:t>
            </w:r>
          </w:p>
        </w:tc>
        <w:tc>
          <w:tcPr>
            <w:tcW w:w="2268"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预期指标值</w:t>
            </w:r>
          </w:p>
        </w:tc>
        <w:tc>
          <w:tcPr>
            <w:tcW w:w="2096" w:type="dxa"/>
            <w:gridSpan w:val="2"/>
            <w:shd w:val="clear" w:color="auto" w:fill="auto"/>
            <w:vAlign w:val="center"/>
          </w:tcPr>
          <w:p>
            <w:pPr>
              <w:widowControl/>
              <w:spacing w:line="320" w:lineRule="exact"/>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实际完成指标值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restart"/>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项目完成指标</w:t>
            </w:r>
          </w:p>
        </w:tc>
        <w:tc>
          <w:tcPr>
            <w:tcW w:w="1275" w:type="dxa"/>
            <w:gridSpan w:val="2"/>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数量指标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1完成事业单位公开考调工作</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根据事业单位申报及全市编制使用等综合确定，预计报名人数1万人。</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根据市委编办年度空编使用计划，公开考调市直属事业单位工作人员共44名，其中管理岗位26名、专业技术岗位18名。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5" w:type="dxa"/>
            <w:gridSpan w:val="2"/>
            <w:shd w:val="clear" w:color="auto" w:fill="auto"/>
          </w:tcPr>
          <w:p>
            <w:r>
              <w:rPr>
                <w:rFonts w:hint="eastAsia" w:asciiTheme="minorEastAsia" w:hAnsiTheme="minorEastAsia" w:eastAsiaTheme="minorEastAsia"/>
                <w:color w:val="000000"/>
                <w:sz w:val="24"/>
              </w:rPr>
              <w:t>数量指标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完成事业单位公开考调、公开考试、公开考核招聘等</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根据事业单位申报及全市编制使用等综合确定，预计报名人数5万人。</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根据市委编办年度空编使用计划，公开招聘事业单位工作人员共1803名。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5" w:type="dxa"/>
            <w:gridSpan w:val="2"/>
            <w:shd w:val="clear" w:color="auto" w:fill="auto"/>
          </w:tcPr>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质量指标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工作完成率</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≥100%</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5" w:type="dxa"/>
            <w:gridSpan w:val="2"/>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时效指标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完成时间</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2021年12月前</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2021年12月前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5" w:type="dxa"/>
            <w:gridSpan w:val="2"/>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命题制卷考务工作经费</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6万</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6万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vMerge w:val="continue"/>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p>
        </w:tc>
        <w:tc>
          <w:tcPr>
            <w:tcW w:w="1275" w:type="dxa"/>
            <w:gridSpan w:val="2"/>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成本指标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调研检查工作经费</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1万</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shd w:val="clear" w:color="auto" w:fill="auto"/>
            <w:vAlign w:val="center"/>
          </w:tcPr>
          <w:p>
            <w:pPr>
              <w:widowControl/>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效益指标</w:t>
            </w:r>
          </w:p>
        </w:tc>
        <w:tc>
          <w:tcPr>
            <w:tcW w:w="1275" w:type="dxa"/>
            <w:gridSpan w:val="2"/>
            <w:shd w:val="clear" w:color="auto" w:fill="auto"/>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社会效益指标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对工作的促进作用</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提高社会对事业单位招聘、考调工作的公信度。</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有效保障我市事业单位公开招聘、公开考调工作的顺利运行，为提高高校毕业生就业率、缓解就业压力提供有力的支撑。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spacing w:line="320" w:lineRule="exact"/>
              <w:jc w:val="center"/>
              <w:rPr>
                <w:rFonts w:cs="仿宋_GB2312" w:asciiTheme="minorEastAsia" w:hAnsiTheme="minorEastAsia" w:eastAsiaTheme="minorEastAsia"/>
                <w:sz w:val="24"/>
              </w:rPr>
            </w:pPr>
          </w:p>
        </w:tc>
        <w:tc>
          <w:tcPr>
            <w:tcW w:w="1134" w:type="dxa"/>
            <w:gridSpan w:val="2"/>
            <w:shd w:val="clear" w:color="auto" w:fill="auto"/>
            <w:vAlign w:val="center"/>
          </w:tcPr>
          <w:p>
            <w:pPr>
              <w:spacing w:line="320" w:lineRule="exact"/>
              <w:jc w:val="center"/>
              <w:textAlignment w:val="bottom"/>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满意度指标</w:t>
            </w:r>
          </w:p>
        </w:tc>
        <w:tc>
          <w:tcPr>
            <w:tcW w:w="1275" w:type="dxa"/>
            <w:gridSpan w:val="2"/>
            <w:shd w:val="clear" w:color="auto" w:fill="auto"/>
            <w:vAlign w:val="center"/>
          </w:tcPr>
          <w:p>
            <w:pPr>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满意度指标</w:t>
            </w:r>
          </w:p>
        </w:tc>
        <w:tc>
          <w:tcPr>
            <w:tcW w:w="1701" w:type="dxa"/>
            <w:shd w:val="clear" w:color="auto" w:fill="auto"/>
            <w:vAlign w:val="center"/>
          </w:tcPr>
          <w:p>
            <w:pPr>
              <w:rPr>
                <w:rFonts w:ascii="宋体" w:hAnsi="宋体" w:cs="宋体"/>
                <w:color w:val="000000"/>
                <w:sz w:val="22"/>
                <w:szCs w:val="22"/>
              </w:rPr>
            </w:pPr>
            <w:r>
              <w:rPr>
                <w:rFonts w:hint="eastAsia"/>
                <w:color w:val="000000"/>
                <w:sz w:val="22"/>
                <w:szCs w:val="22"/>
              </w:rPr>
              <w:t>事业单位、主管部门满意度</w:t>
            </w:r>
          </w:p>
        </w:tc>
        <w:tc>
          <w:tcPr>
            <w:tcW w:w="2268" w:type="dxa"/>
            <w:gridSpan w:val="2"/>
            <w:shd w:val="clear" w:color="auto" w:fill="auto"/>
            <w:vAlign w:val="center"/>
          </w:tcPr>
          <w:p>
            <w:pPr>
              <w:rPr>
                <w:rFonts w:ascii="宋体" w:hAnsi="宋体" w:cs="宋体"/>
                <w:color w:val="000000"/>
                <w:sz w:val="22"/>
                <w:szCs w:val="22"/>
              </w:rPr>
            </w:pPr>
            <w:r>
              <w:rPr>
                <w:rFonts w:hint="eastAsia"/>
                <w:color w:val="000000"/>
                <w:sz w:val="22"/>
                <w:szCs w:val="22"/>
              </w:rPr>
              <w:t>≥100%</w:t>
            </w:r>
          </w:p>
        </w:tc>
        <w:tc>
          <w:tcPr>
            <w:tcW w:w="2096" w:type="dxa"/>
            <w:gridSpan w:val="2"/>
            <w:shd w:val="clear" w:color="auto" w:fill="auto"/>
            <w:vAlign w:val="center"/>
          </w:tcPr>
          <w:p>
            <w:pPr>
              <w:rPr>
                <w:rFonts w:ascii="宋体" w:hAnsi="宋体" w:cs="宋体"/>
                <w:color w:val="000000"/>
                <w:sz w:val="22"/>
                <w:szCs w:val="22"/>
              </w:rPr>
            </w:pPr>
            <w:r>
              <w:rPr>
                <w:rFonts w:hint="eastAsia"/>
                <w:color w:val="000000"/>
                <w:sz w:val="22"/>
                <w:szCs w:val="22"/>
              </w:rPr>
              <w:t>全面完成我市2021年事业单位公开考调、招聘工作，及时补充各级事业单位人员。</w:t>
            </w:r>
          </w:p>
        </w:tc>
      </w:tr>
    </w:tbl>
    <w:p>
      <w:pPr>
        <w:rPr>
          <w:rFonts w:hint="eastAsia" w:ascii="仿宋_GB2312" w:hAnsi="仿宋_GB2312" w:eastAsia="仿宋_GB2312" w:cs="仿宋_GB2312"/>
          <w:sz w:val="32"/>
          <w:szCs w:val="32"/>
        </w:rPr>
      </w:pPr>
    </w:p>
    <w:p>
      <w:pPr>
        <w:pStyle w:val="5"/>
        <w:spacing w:before="93"/>
      </w:pPr>
    </w:p>
    <w:p>
      <w:pPr>
        <w:rPr>
          <w:rFonts w:ascii="黑体" w:hAnsi="黑体" w:eastAsia="黑体"/>
          <w:sz w:val="44"/>
          <w:szCs w:val="44"/>
        </w:rPr>
      </w:pPr>
    </w:p>
    <w:p>
      <w:pPr>
        <w:pStyle w:val="5"/>
        <w:spacing w:before="93"/>
      </w:pPr>
    </w:p>
    <w:p>
      <w:pPr>
        <w:rPr>
          <w:rFonts w:ascii="黑体" w:hAnsi="黑体" w:eastAsia="黑体"/>
          <w:sz w:val="44"/>
          <w:szCs w:val="44"/>
        </w:rPr>
      </w:pPr>
      <w:r>
        <w:rPr>
          <w:rFonts w:hint="eastAsia" w:ascii="黑体" w:hAnsi="黑体" w:eastAsia="黑体"/>
          <w:sz w:val="44"/>
          <w:szCs w:val="44"/>
        </w:rPr>
        <w:br w:type="page"/>
      </w:r>
    </w:p>
    <w:p>
      <w:pPr>
        <w:spacing w:line="600" w:lineRule="exact"/>
        <w:jc w:val="center"/>
        <w:outlineLvl w:val="0"/>
        <w:rPr>
          <w:rFonts w:ascii="仿宋" w:hAnsi="仿宋" w:eastAsia="仿宋"/>
        </w:rPr>
      </w:pPr>
      <w:bookmarkStart w:id="122" w:name="_Toc7483"/>
      <w:bookmarkStart w:id="123" w:name="_Toc1179"/>
      <w:r>
        <w:rPr>
          <w:rFonts w:hint="eastAsia" w:ascii="黑体" w:hAnsi="黑体" w:eastAsia="黑体"/>
          <w:sz w:val="44"/>
          <w:szCs w:val="44"/>
        </w:rPr>
        <w:t>第</w:t>
      </w:r>
      <w:r>
        <w:rPr>
          <w:rStyle w:val="28"/>
          <w:rFonts w:hint="eastAsia" w:ascii="黑体" w:hAnsi="黑体" w:eastAsia="黑体"/>
          <w:b w:val="0"/>
        </w:rPr>
        <w:t>五部分 附表</w:t>
      </w:r>
      <w:bookmarkEnd w:id="77"/>
      <w:bookmarkEnd w:id="81"/>
      <w:bookmarkEnd w:id="122"/>
      <w:bookmarkEnd w:id="123"/>
      <w:bookmarkStart w:id="124" w:name="_Toc15396619"/>
    </w:p>
    <w:p>
      <w:pPr>
        <w:pStyle w:val="3"/>
        <w:rPr>
          <w:rFonts w:hint="eastAsia" w:ascii="黑体" w:hAnsi="黑体" w:eastAsia="黑体" w:cs="黑体"/>
        </w:rPr>
      </w:pPr>
      <w:bookmarkStart w:id="125" w:name="_Toc23189"/>
      <w:r>
        <w:rPr>
          <w:rFonts w:hint="eastAsia" w:ascii="黑体" w:hAnsi="黑体" w:eastAsia="黑体" w:cs="黑体"/>
          <w:b w:val="0"/>
        </w:rPr>
        <w:t>一、收</w:t>
      </w:r>
      <w:r>
        <w:rPr>
          <w:rStyle w:val="29"/>
          <w:rFonts w:hint="eastAsia" w:ascii="黑体" w:hAnsi="黑体" w:eastAsia="黑体" w:cs="黑体"/>
          <w:b w:val="0"/>
          <w:bCs w:val="0"/>
        </w:rPr>
        <w:t>入支出决算总表</w:t>
      </w:r>
      <w:bookmarkEnd w:id="124"/>
      <w:bookmarkEnd w:id="125"/>
    </w:p>
    <w:p>
      <w:pPr>
        <w:pStyle w:val="3"/>
        <w:rPr>
          <w:rFonts w:hint="eastAsia" w:ascii="黑体" w:hAnsi="黑体" w:eastAsia="黑体" w:cs="黑体"/>
        </w:rPr>
      </w:pPr>
      <w:bookmarkStart w:id="126" w:name="_Toc22141"/>
      <w:bookmarkStart w:id="127" w:name="_Toc15396620"/>
      <w:r>
        <w:rPr>
          <w:rFonts w:hint="eastAsia" w:ascii="黑体" w:hAnsi="黑体" w:eastAsia="黑体" w:cs="黑体"/>
          <w:b w:val="0"/>
        </w:rPr>
        <w:t>二、收</w:t>
      </w:r>
      <w:r>
        <w:rPr>
          <w:rStyle w:val="29"/>
          <w:rFonts w:hint="eastAsia" w:ascii="黑体" w:hAnsi="黑体" w:eastAsia="黑体" w:cs="黑体"/>
          <w:b w:val="0"/>
          <w:bCs w:val="0"/>
        </w:rPr>
        <w:t>入决算表</w:t>
      </w:r>
      <w:bookmarkEnd w:id="126"/>
      <w:bookmarkEnd w:id="127"/>
    </w:p>
    <w:p>
      <w:pPr>
        <w:pStyle w:val="3"/>
        <w:rPr>
          <w:rFonts w:hint="eastAsia" w:ascii="黑体" w:hAnsi="黑体" w:eastAsia="黑体" w:cs="黑体"/>
        </w:rPr>
      </w:pPr>
      <w:bookmarkStart w:id="128" w:name="_Toc14607"/>
      <w:bookmarkStart w:id="129" w:name="_Toc15396621"/>
      <w:r>
        <w:rPr>
          <w:rStyle w:val="29"/>
          <w:rFonts w:hint="eastAsia" w:ascii="黑体" w:hAnsi="黑体" w:eastAsia="黑体" w:cs="黑体"/>
          <w:b w:val="0"/>
          <w:bCs w:val="0"/>
        </w:rPr>
        <w:t>三、</w:t>
      </w:r>
      <w:r>
        <w:rPr>
          <w:rFonts w:hint="eastAsia" w:ascii="黑体" w:hAnsi="黑体" w:eastAsia="黑体" w:cs="黑体"/>
          <w:b w:val="0"/>
        </w:rPr>
        <w:t>支</w:t>
      </w:r>
      <w:r>
        <w:rPr>
          <w:rStyle w:val="29"/>
          <w:rFonts w:hint="eastAsia" w:ascii="黑体" w:hAnsi="黑体" w:eastAsia="黑体" w:cs="黑体"/>
          <w:b w:val="0"/>
          <w:bCs w:val="0"/>
        </w:rPr>
        <w:t>出决算表</w:t>
      </w:r>
      <w:bookmarkEnd w:id="128"/>
      <w:bookmarkEnd w:id="129"/>
    </w:p>
    <w:p>
      <w:pPr>
        <w:pStyle w:val="3"/>
        <w:rPr>
          <w:rFonts w:hint="eastAsia" w:ascii="黑体" w:hAnsi="黑体" w:eastAsia="黑体" w:cs="黑体"/>
          <w:b w:val="0"/>
        </w:rPr>
      </w:pPr>
      <w:bookmarkStart w:id="130" w:name="_Toc15396622"/>
      <w:bookmarkStart w:id="131" w:name="_Toc30694"/>
      <w:r>
        <w:rPr>
          <w:rStyle w:val="29"/>
          <w:rFonts w:hint="eastAsia" w:ascii="黑体" w:hAnsi="黑体" w:eastAsia="黑体" w:cs="黑体"/>
          <w:b w:val="0"/>
          <w:bCs w:val="0"/>
        </w:rPr>
        <w:t>四、</w:t>
      </w:r>
      <w:r>
        <w:rPr>
          <w:rFonts w:hint="eastAsia" w:ascii="黑体" w:hAnsi="黑体" w:eastAsia="黑体" w:cs="黑体"/>
          <w:b w:val="0"/>
        </w:rPr>
        <w:t>财</w:t>
      </w:r>
      <w:r>
        <w:rPr>
          <w:rStyle w:val="29"/>
          <w:rFonts w:hint="eastAsia" w:ascii="黑体" w:hAnsi="黑体" w:eastAsia="黑体" w:cs="黑体"/>
          <w:b w:val="0"/>
          <w:bCs w:val="0"/>
        </w:rPr>
        <w:t>政拨款收入支出决算总表</w:t>
      </w:r>
      <w:bookmarkEnd w:id="130"/>
      <w:bookmarkEnd w:id="131"/>
    </w:p>
    <w:p>
      <w:pPr>
        <w:pStyle w:val="3"/>
        <w:rPr>
          <w:rStyle w:val="29"/>
          <w:rFonts w:hint="eastAsia" w:ascii="黑体" w:hAnsi="黑体" w:eastAsia="黑体" w:cs="黑体"/>
          <w:b w:val="0"/>
          <w:bCs w:val="0"/>
        </w:rPr>
      </w:pPr>
      <w:bookmarkStart w:id="132" w:name="_Toc15396623"/>
      <w:bookmarkStart w:id="133" w:name="_Toc2922"/>
      <w:r>
        <w:rPr>
          <w:rStyle w:val="29"/>
          <w:rFonts w:hint="eastAsia" w:ascii="黑体" w:hAnsi="黑体" w:eastAsia="黑体" w:cs="黑体"/>
          <w:b w:val="0"/>
          <w:bCs w:val="0"/>
        </w:rPr>
        <w:t>五、</w:t>
      </w:r>
      <w:r>
        <w:rPr>
          <w:rFonts w:hint="eastAsia" w:ascii="黑体" w:hAnsi="黑体" w:eastAsia="黑体" w:cs="黑体"/>
          <w:b w:val="0"/>
        </w:rPr>
        <w:t>财</w:t>
      </w:r>
      <w:r>
        <w:rPr>
          <w:rStyle w:val="29"/>
          <w:rFonts w:hint="eastAsia" w:ascii="黑体" w:hAnsi="黑体" w:eastAsia="黑体" w:cs="黑体"/>
          <w:b w:val="0"/>
          <w:bCs w:val="0"/>
        </w:rPr>
        <w:t>政拨款支出决算明细表</w:t>
      </w:r>
      <w:bookmarkEnd w:id="132"/>
      <w:bookmarkEnd w:id="133"/>
      <w:bookmarkStart w:id="134" w:name="_Toc15396624"/>
    </w:p>
    <w:p>
      <w:pPr>
        <w:pStyle w:val="3"/>
        <w:rPr>
          <w:rFonts w:hint="eastAsia" w:ascii="黑体" w:hAnsi="黑体" w:eastAsia="黑体" w:cs="黑体"/>
        </w:rPr>
      </w:pPr>
      <w:bookmarkStart w:id="135" w:name="_Toc5558"/>
      <w:r>
        <w:rPr>
          <w:rStyle w:val="29"/>
          <w:rFonts w:hint="eastAsia" w:ascii="黑体" w:hAnsi="黑体" w:eastAsia="黑体" w:cs="黑体"/>
          <w:b w:val="0"/>
          <w:bCs w:val="0"/>
        </w:rPr>
        <w:t>六、</w:t>
      </w:r>
      <w:r>
        <w:rPr>
          <w:rFonts w:hint="eastAsia" w:ascii="黑体" w:hAnsi="黑体" w:eastAsia="黑体" w:cs="黑体"/>
          <w:b w:val="0"/>
        </w:rPr>
        <w:t>一</w:t>
      </w:r>
      <w:r>
        <w:rPr>
          <w:rStyle w:val="29"/>
          <w:rFonts w:hint="eastAsia" w:ascii="黑体" w:hAnsi="黑体" w:eastAsia="黑体" w:cs="黑体"/>
          <w:b w:val="0"/>
          <w:bCs w:val="0"/>
        </w:rPr>
        <w:t>般公共预算财政拨款支出决算表</w:t>
      </w:r>
      <w:bookmarkEnd w:id="134"/>
      <w:bookmarkEnd w:id="135"/>
    </w:p>
    <w:p>
      <w:pPr>
        <w:pStyle w:val="3"/>
        <w:rPr>
          <w:rFonts w:hint="eastAsia" w:ascii="黑体" w:hAnsi="黑体" w:eastAsia="黑体" w:cs="黑体"/>
        </w:rPr>
      </w:pPr>
      <w:bookmarkStart w:id="136" w:name="_Toc18813"/>
      <w:bookmarkStart w:id="137" w:name="_Toc15396625"/>
      <w:r>
        <w:rPr>
          <w:rStyle w:val="29"/>
          <w:rFonts w:hint="eastAsia" w:ascii="黑体" w:hAnsi="黑体" w:eastAsia="黑体" w:cs="黑体"/>
          <w:b w:val="0"/>
          <w:bCs w:val="0"/>
        </w:rPr>
        <w:t>七、</w:t>
      </w:r>
      <w:r>
        <w:rPr>
          <w:rFonts w:hint="eastAsia" w:ascii="黑体" w:hAnsi="黑体" w:eastAsia="黑体" w:cs="黑体"/>
          <w:b w:val="0"/>
        </w:rPr>
        <w:t>一</w:t>
      </w:r>
      <w:r>
        <w:rPr>
          <w:rStyle w:val="29"/>
          <w:rFonts w:hint="eastAsia" w:ascii="黑体" w:hAnsi="黑体" w:eastAsia="黑体" w:cs="黑体"/>
          <w:b w:val="0"/>
          <w:bCs w:val="0"/>
        </w:rPr>
        <w:t>般公共预算财政拨款支出决算明细表</w:t>
      </w:r>
      <w:bookmarkEnd w:id="136"/>
      <w:bookmarkEnd w:id="137"/>
    </w:p>
    <w:p>
      <w:pPr>
        <w:pStyle w:val="3"/>
        <w:rPr>
          <w:rFonts w:hint="eastAsia" w:ascii="黑体" w:hAnsi="黑体" w:eastAsia="黑体" w:cs="黑体"/>
        </w:rPr>
      </w:pPr>
      <w:bookmarkStart w:id="138" w:name="_Toc15396626"/>
      <w:bookmarkStart w:id="139" w:name="_Toc4756"/>
      <w:r>
        <w:rPr>
          <w:rStyle w:val="29"/>
          <w:rFonts w:hint="eastAsia" w:ascii="黑体" w:hAnsi="黑体" w:eastAsia="黑体" w:cs="黑体"/>
          <w:b w:val="0"/>
          <w:bCs w:val="0"/>
        </w:rPr>
        <w:t>八、</w:t>
      </w:r>
      <w:r>
        <w:rPr>
          <w:rFonts w:hint="eastAsia" w:ascii="黑体" w:hAnsi="黑体" w:eastAsia="黑体" w:cs="黑体"/>
          <w:b w:val="0"/>
        </w:rPr>
        <w:t>一</w:t>
      </w:r>
      <w:r>
        <w:rPr>
          <w:rStyle w:val="29"/>
          <w:rFonts w:hint="eastAsia" w:ascii="黑体" w:hAnsi="黑体" w:eastAsia="黑体" w:cs="黑体"/>
          <w:b w:val="0"/>
          <w:bCs w:val="0"/>
        </w:rPr>
        <w:t>般公共预算财政拨款基本支出决算表</w:t>
      </w:r>
      <w:bookmarkEnd w:id="138"/>
      <w:bookmarkEnd w:id="139"/>
    </w:p>
    <w:p>
      <w:pPr>
        <w:pStyle w:val="3"/>
        <w:rPr>
          <w:rFonts w:hint="eastAsia" w:ascii="黑体" w:hAnsi="黑体" w:eastAsia="黑体" w:cs="黑体"/>
        </w:rPr>
      </w:pPr>
      <w:bookmarkStart w:id="140" w:name="_Toc13500"/>
      <w:bookmarkStart w:id="141" w:name="_Toc15396627"/>
      <w:r>
        <w:rPr>
          <w:rStyle w:val="29"/>
          <w:rFonts w:hint="eastAsia" w:ascii="黑体" w:hAnsi="黑体" w:eastAsia="黑体" w:cs="黑体"/>
          <w:b w:val="0"/>
          <w:bCs w:val="0"/>
        </w:rPr>
        <w:t>九、</w:t>
      </w:r>
      <w:r>
        <w:rPr>
          <w:rFonts w:hint="eastAsia" w:ascii="黑体" w:hAnsi="黑体" w:eastAsia="黑体" w:cs="黑体"/>
          <w:b w:val="0"/>
        </w:rPr>
        <w:t>一</w:t>
      </w:r>
      <w:r>
        <w:rPr>
          <w:rStyle w:val="29"/>
          <w:rFonts w:hint="eastAsia" w:ascii="黑体" w:hAnsi="黑体" w:eastAsia="黑体" w:cs="黑体"/>
          <w:b w:val="0"/>
          <w:bCs w:val="0"/>
        </w:rPr>
        <w:t>般公共预算财政拨款项目支出决算表</w:t>
      </w:r>
      <w:bookmarkEnd w:id="140"/>
      <w:bookmarkEnd w:id="141"/>
    </w:p>
    <w:p>
      <w:pPr>
        <w:pStyle w:val="3"/>
        <w:rPr>
          <w:rFonts w:hint="eastAsia" w:ascii="黑体" w:hAnsi="黑体" w:eastAsia="黑体" w:cs="黑体"/>
        </w:rPr>
      </w:pPr>
      <w:bookmarkStart w:id="142" w:name="_Toc5607"/>
      <w:bookmarkStart w:id="143" w:name="_Toc15396628"/>
      <w:r>
        <w:rPr>
          <w:rStyle w:val="29"/>
          <w:rFonts w:hint="eastAsia" w:ascii="黑体" w:hAnsi="黑体" w:eastAsia="黑体" w:cs="黑体"/>
          <w:b w:val="0"/>
          <w:bCs w:val="0"/>
        </w:rPr>
        <w:t>十、</w:t>
      </w:r>
      <w:r>
        <w:rPr>
          <w:rFonts w:hint="eastAsia" w:ascii="黑体" w:hAnsi="黑体" w:eastAsia="黑体" w:cs="黑体"/>
          <w:b w:val="0"/>
        </w:rPr>
        <w:t>一</w:t>
      </w:r>
      <w:r>
        <w:rPr>
          <w:rStyle w:val="29"/>
          <w:rFonts w:hint="eastAsia" w:ascii="黑体" w:hAnsi="黑体" w:eastAsia="黑体" w:cs="黑体"/>
          <w:b w:val="0"/>
          <w:bCs w:val="0"/>
        </w:rPr>
        <w:t>般公共预算财政拨款“三公”经费支出决算表</w:t>
      </w:r>
      <w:bookmarkEnd w:id="142"/>
      <w:bookmarkEnd w:id="143"/>
    </w:p>
    <w:p>
      <w:pPr>
        <w:pStyle w:val="3"/>
        <w:rPr>
          <w:rFonts w:hint="eastAsia" w:ascii="黑体" w:hAnsi="黑体" w:eastAsia="黑体" w:cs="黑体"/>
        </w:rPr>
      </w:pPr>
      <w:bookmarkStart w:id="144" w:name="_Toc7089"/>
      <w:bookmarkStart w:id="145" w:name="_Toc15396629"/>
      <w:r>
        <w:rPr>
          <w:rStyle w:val="29"/>
          <w:rFonts w:hint="eastAsia" w:ascii="黑体" w:hAnsi="黑体" w:eastAsia="黑体" w:cs="黑体"/>
          <w:b w:val="0"/>
          <w:bCs w:val="0"/>
        </w:rPr>
        <w:t>十一、</w:t>
      </w:r>
      <w:r>
        <w:rPr>
          <w:rFonts w:hint="eastAsia" w:ascii="黑体" w:hAnsi="黑体" w:eastAsia="黑体" w:cs="黑体"/>
          <w:b w:val="0"/>
        </w:rPr>
        <w:t>政</w:t>
      </w:r>
      <w:r>
        <w:rPr>
          <w:rStyle w:val="29"/>
          <w:rFonts w:hint="eastAsia" w:ascii="黑体" w:hAnsi="黑体" w:eastAsia="黑体" w:cs="黑体"/>
          <w:b w:val="0"/>
          <w:bCs w:val="0"/>
        </w:rPr>
        <w:t>府性基金预算财政拨款收入支出决算表</w:t>
      </w:r>
      <w:bookmarkEnd w:id="144"/>
      <w:bookmarkEnd w:id="145"/>
    </w:p>
    <w:p>
      <w:pPr>
        <w:pStyle w:val="3"/>
        <w:rPr>
          <w:rFonts w:hint="eastAsia" w:ascii="黑体" w:hAnsi="黑体" w:eastAsia="黑体" w:cs="黑体"/>
        </w:rPr>
      </w:pPr>
      <w:bookmarkStart w:id="146" w:name="_Toc15396630"/>
      <w:bookmarkStart w:id="147" w:name="_Toc19942"/>
      <w:r>
        <w:rPr>
          <w:rStyle w:val="29"/>
          <w:rFonts w:hint="eastAsia" w:ascii="黑体" w:hAnsi="黑体" w:eastAsia="黑体" w:cs="黑体"/>
          <w:b w:val="0"/>
          <w:bCs w:val="0"/>
        </w:rPr>
        <w:t>十二、</w:t>
      </w:r>
      <w:r>
        <w:rPr>
          <w:rFonts w:hint="eastAsia" w:ascii="黑体" w:hAnsi="黑体" w:eastAsia="黑体" w:cs="黑体"/>
          <w:b w:val="0"/>
        </w:rPr>
        <w:t>政</w:t>
      </w:r>
      <w:r>
        <w:rPr>
          <w:rStyle w:val="29"/>
          <w:rFonts w:hint="eastAsia" w:ascii="黑体" w:hAnsi="黑体" w:eastAsia="黑体" w:cs="黑体"/>
          <w:b w:val="0"/>
          <w:bCs w:val="0"/>
        </w:rPr>
        <w:t>府性基金预算财政拨款“三公”经费支出决算表</w:t>
      </w:r>
      <w:bookmarkEnd w:id="146"/>
      <w:bookmarkEnd w:id="147"/>
    </w:p>
    <w:p>
      <w:pPr>
        <w:pStyle w:val="3"/>
        <w:rPr>
          <w:rStyle w:val="29"/>
          <w:rFonts w:hint="eastAsia" w:ascii="黑体" w:hAnsi="黑体" w:eastAsia="黑体" w:cs="黑体"/>
          <w:b w:val="0"/>
          <w:bCs w:val="0"/>
        </w:rPr>
      </w:pPr>
      <w:bookmarkStart w:id="148" w:name="_Toc15396631"/>
      <w:bookmarkStart w:id="149" w:name="_Toc28218"/>
      <w:r>
        <w:rPr>
          <w:rStyle w:val="29"/>
          <w:rFonts w:hint="eastAsia" w:ascii="黑体" w:hAnsi="黑体" w:eastAsia="黑体" w:cs="黑体"/>
          <w:b w:val="0"/>
          <w:bCs w:val="0"/>
        </w:rPr>
        <w:t>十三、</w:t>
      </w:r>
      <w:r>
        <w:rPr>
          <w:rFonts w:hint="eastAsia" w:ascii="黑体" w:hAnsi="黑体" w:eastAsia="黑体" w:cs="黑体"/>
          <w:b w:val="0"/>
        </w:rPr>
        <w:t>国</w:t>
      </w:r>
      <w:r>
        <w:rPr>
          <w:rStyle w:val="29"/>
          <w:rFonts w:hint="eastAsia" w:ascii="黑体" w:hAnsi="黑体" w:eastAsia="黑体" w:cs="黑体"/>
          <w:b w:val="0"/>
          <w:bCs w:val="0"/>
        </w:rPr>
        <w:t>有资本经营预算财政拨款收入支出决算表</w:t>
      </w:r>
      <w:bookmarkEnd w:id="148"/>
      <w:bookmarkEnd w:id="149"/>
    </w:p>
    <w:p>
      <w:pPr>
        <w:rPr>
          <w:rFonts w:hint="eastAsia" w:ascii="黑体" w:hAnsi="黑体" w:eastAsia="黑体" w:cs="黑体"/>
        </w:rPr>
      </w:pPr>
      <w:bookmarkStart w:id="150" w:name="_Toc9048"/>
      <w:r>
        <w:rPr>
          <w:rStyle w:val="29"/>
          <w:rFonts w:hint="eastAsia" w:ascii="黑体" w:hAnsi="黑体" w:eastAsia="黑体" w:cs="黑体"/>
          <w:b w:val="0"/>
          <w:bCs w:val="0"/>
        </w:rPr>
        <w:t>十四、国有资本经营预算财政拨款支出决算表</w:t>
      </w:r>
      <w:bookmarkEnd w:id="150"/>
    </w:p>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sdt>
                <w:sdtPr>
                  <w:id w:val="417081237"/>
                  <w:docPartObj>
                    <w:docPartGallery w:val="autotext"/>
                  </w:docPartObj>
                </w:sdtPr>
                <w:sdtContent>
                  <w:p>
                    <w:pPr>
                      <w:pStyle w:val="9"/>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4" o:spid="_x0000_s205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63AE855"/>
    <w:multiLevelType w:val="singleLevel"/>
    <w:tmpl w:val="E63AE855"/>
    <w:lvl w:ilvl="0" w:tentative="0">
      <w:start w:val="2"/>
      <w:numFmt w:val="chineseCounting"/>
      <w:suff w:val="nothing"/>
      <w:lvlText w:val="（%1）"/>
      <w:lvlJc w:val="left"/>
      <w:rPr>
        <w:rFonts w:hint="eastAsia"/>
      </w:rPr>
    </w:lvl>
  </w:abstractNum>
  <w:abstractNum w:abstractNumId="3">
    <w:nsid w:val="E75DB0F4"/>
    <w:multiLevelType w:val="singleLevel"/>
    <w:tmpl w:val="E75DB0F4"/>
    <w:lvl w:ilvl="0" w:tentative="0">
      <w:start w:val="2"/>
      <w:numFmt w:val="chineseCounting"/>
      <w:suff w:val="nothing"/>
      <w:lvlText w:val="（%1）"/>
      <w:lvlJc w:val="left"/>
      <w:rPr>
        <w:rFonts w:hint="eastAsia"/>
      </w:rPr>
    </w:lvl>
  </w:abstractNum>
  <w:abstractNum w:abstractNumId="4">
    <w:nsid w:val="FF5AAFA1"/>
    <w:multiLevelType w:val="singleLevel"/>
    <w:tmpl w:val="FF5AAFA1"/>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3B9A1C0"/>
    <w:multiLevelType w:val="singleLevel"/>
    <w:tmpl w:val="23B9A1C0"/>
    <w:lvl w:ilvl="0" w:tentative="0">
      <w:start w:val="1"/>
      <w:numFmt w:val="chineseCounting"/>
      <w:suff w:val="nothing"/>
      <w:lvlText w:val="%1、"/>
      <w:lvlJc w:val="left"/>
      <w:rPr>
        <w:rFonts w:hint="eastAsia"/>
      </w:rPr>
    </w:lvl>
  </w:abstractNum>
  <w:abstractNum w:abstractNumId="7">
    <w:nsid w:val="25CF72BA"/>
    <w:multiLevelType w:val="singleLevel"/>
    <w:tmpl w:val="25CF72BA"/>
    <w:lvl w:ilvl="0" w:tentative="0">
      <w:start w:val="2"/>
      <w:numFmt w:val="chineseCounting"/>
      <w:suff w:val="nothing"/>
      <w:lvlText w:val="（%1）"/>
      <w:lvlJc w:val="left"/>
      <w:rPr>
        <w:rFonts w:hint="eastAsia"/>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jODE3Y2RjYmYxOTA5MjMwNGM5NjQ4OTIyZjY2ZmIifQ=="/>
  </w:docVars>
  <w:rsids>
    <w:rsidRoot w:val="00F1361C"/>
    <w:rsid w:val="000222C6"/>
    <w:rsid w:val="0002549F"/>
    <w:rsid w:val="000468DB"/>
    <w:rsid w:val="0006487A"/>
    <w:rsid w:val="00065F8F"/>
    <w:rsid w:val="00070A43"/>
    <w:rsid w:val="00070EFA"/>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5E57"/>
    <w:rsid w:val="001123D3"/>
    <w:rsid w:val="00114E9B"/>
    <w:rsid w:val="00142216"/>
    <w:rsid w:val="00144D6A"/>
    <w:rsid w:val="0014729F"/>
    <w:rsid w:val="00157BAB"/>
    <w:rsid w:val="001639DC"/>
    <w:rsid w:val="001654D1"/>
    <w:rsid w:val="00174518"/>
    <w:rsid w:val="0018106D"/>
    <w:rsid w:val="001877A7"/>
    <w:rsid w:val="00191536"/>
    <w:rsid w:val="00196687"/>
    <w:rsid w:val="001A622D"/>
    <w:rsid w:val="001C0962"/>
    <w:rsid w:val="001D7531"/>
    <w:rsid w:val="001E737D"/>
    <w:rsid w:val="001F0592"/>
    <w:rsid w:val="001F7506"/>
    <w:rsid w:val="002006CD"/>
    <w:rsid w:val="00202561"/>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5B81"/>
    <w:rsid w:val="002D6D05"/>
    <w:rsid w:val="002F1818"/>
    <w:rsid w:val="002F567B"/>
    <w:rsid w:val="00303F39"/>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5E4C"/>
    <w:rsid w:val="005664BB"/>
    <w:rsid w:val="00566FFA"/>
    <w:rsid w:val="0057481D"/>
    <w:rsid w:val="0058486E"/>
    <w:rsid w:val="00585B33"/>
    <w:rsid w:val="0059014D"/>
    <w:rsid w:val="005B2EC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5FFF"/>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141"/>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197C"/>
    <w:rsid w:val="00C42709"/>
    <w:rsid w:val="00C533CC"/>
    <w:rsid w:val="00C5751C"/>
    <w:rsid w:val="00C61BFC"/>
    <w:rsid w:val="00C62B85"/>
    <w:rsid w:val="00C65438"/>
    <w:rsid w:val="00C87FD8"/>
    <w:rsid w:val="00C91381"/>
    <w:rsid w:val="00C91CBB"/>
    <w:rsid w:val="00CA613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A37"/>
    <w:rsid w:val="00E07ACF"/>
    <w:rsid w:val="00E331A1"/>
    <w:rsid w:val="00E33202"/>
    <w:rsid w:val="00E336A9"/>
    <w:rsid w:val="00E429D7"/>
    <w:rsid w:val="00E472B1"/>
    <w:rsid w:val="00E50624"/>
    <w:rsid w:val="00E568DF"/>
    <w:rsid w:val="00E64269"/>
    <w:rsid w:val="00E82267"/>
    <w:rsid w:val="00E853CE"/>
    <w:rsid w:val="00E867B6"/>
    <w:rsid w:val="00E9125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B25"/>
    <w:rsid w:val="00F97B62"/>
    <w:rsid w:val="00FA23E8"/>
    <w:rsid w:val="00FD3CC1"/>
    <w:rsid w:val="00FF1E02"/>
    <w:rsid w:val="00FF30B4"/>
    <w:rsid w:val="01675347"/>
    <w:rsid w:val="017165B7"/>
    <w:rsid w:val="01A73D87"/>
    <w:rsid w:val="01D376F7"/>
    <w:rsid w:val="01EF13BD"/>
    <w:rsid w:val="01FB40D3"/>
    <w:rsid w:val="020B72F5"/>
    <w:rsid w:val="02E80AFB"/>
    <w:rsid w:val="031968B6"/>
    <w:rsid w:val="038A6875"/>
    <w:rsid w:val="03BE185C"/>
    <w:rsid w:val="042756B3"/>
    <w:rsid w:val="049F54B6"/>
    <w:rsid w:val="04A46CA4"/>
    <w:rsid w:val="051C2AE0"/>
    <w:rsid w:val="053A36EE"/>
    <w:rsid w:val="056F72B2"/>
    <w:rsid w:val="05C70E9C"/>
    <w:rsid w:val="06017ED3"/>
    <w:rsid w:val="064B0B9D"/>
    <w:rsid w:val="067D155B"/>
    <w:rsid w:val="06EA3F9F"/>
    <w:rsid w:val="071A3E11"/>
    <w:rsid w:val="076A0618"/>
    <w:rsid w:val="07DD160C"/>
    <w:rsid w:val="08B82D1E"/>
    <w:rsid w:val="09CE7B0B"/>
    <w:rsid w:val="09F0637B"/>
    <w:rsid w:val="0A14667A"/>
    <w:rsid w:val="0A2032A3"/>
    <w:rsid w:val="0A20501F"/>
    <w:rsid w:val="0A2106A1"/>
    <w:rsid w:val="0AA01CBB"/>
    <w:rsid w:val="0B095AB3"/>
    <w:rsid w:val="0B1E5E53"/>
    <w:rsid w:val="0B29066A"/>
    <w:rsid w:val="0B3C196A"/>
    <w:rsid w:val="0B8619D2"/>
    <w:rsid w:val="0B8A37D8"/>
    <w:rsid w:val="0BA23811"/>
    <w:rsid w:val="0C3152C1"/>
    <w:rsid w:val="0C566AD6"/>
    <w:rsid w:val="0D0C4D99"/>
    <w:rsid w:val="0D1269F1"/>
    <w:rsid w:val="0D2D5E3B"/>
    <w:rsid w:val="0D757D3F"/>
    <w:rsid w:val="0DCF4D92"/>
    <w:rsid w:val="0E9F2380"/>
    <w:rsid w:val="0F041C0C"/>
    <w:rsid w:val="0F1F4EFA"/>
    <w:rsid w:val="0F334EAC"/>
    <w:rsid w:val="105E051F"/>
    <w:rsid w:val="10971ED4"/>
    <w:rsid w:val="109776BD"/>
    <w:rsid w:val="10C055FF"/>
    <w:rsid w:val="10D03BA9"/>
    <w:rsid w:val="10D80401"/>
    <w:rsid w:val="10F42D61"/>
    <w:rsid w:val="11037784"/>
    <w:rsid w:val="118107EC"/>
    <w:rsid w:val="11DB2F79"/>
    <w:rsid w:val="11DD6519"/>
    <w:rsid w:val="11FF65C0"/>
    <w:rsid w:val="12241424"/>
    <w:rsid w:val="12331667"/>
    <w:rsid w:val="1283614B"/>
    <w:rsid w:val="135E74BD"/>
    <w:rsid w:val="13B642FE"/>
    <w:rsid w:val="13EB044B"/>
    <w:rsid w:val="144679D1"/>
    <w:rsid w:val="14867759"/>
    <w:rsid w:val="15543DCE"/>
    <w:rsid w:val="1574621E"/>
    <w:rsid w:val="15FF1F8C"/>
    <w:rsid w:val="16902346"/>
    <w:rsid w:val="16BB723D"/>
    <w:rsid w:val="172C1315"/>
    <w:rsid w:val="17CF598E"/>
    <w:rsid w:val="18015F3F"/>
    <w:rsid w:val="184F2709"/>
    <w:rsid w:val="18794E5C"/>
    <w:rsid w:val="18C33802"/>
    <w:rsid w:val="19722A75"/>
    <w:rsid w:val="19DB686C"/>
    <w:rsid w:val="19DC4392"/>
    <w:rsid w:val="1A02228D"/>
    <w:rsid w:val="1A7E4486"/>
    <w:rsid w:val="1A7E62A7"/>
    <w:rsid w:val="1AB31597"/>
    <w:rsid w:val="1ABF7F3C"/>
    <w:rsid w:val="1B551411"/>
    <w:rsid w:val="1B6151AA"/>
    <w:rsid w:val="1B943177"/>
    <w:rsid w:val="1BE8440E"/>
    <w:rsid w:val="1C0057C6"/>
    <w:rsid w:val="1C093B64"/>
    <w:rsid w:val="1C181AC9"/>
    <w:rsid w:val="1C746CCC"/>
    <w:rsid w:val="1CA05AEF"/>
    <w:rsid w:val="1CC676E4"/>
    <w:rsid w:val="1D155CEE"/>
    <w:rsid w:val="1D664516"/>
    <w:rsid w:val="1D6D7E6D"/>
    <w:rsid w:val="1D750D86"/>
    <w:rsid w:val="1D7B60A6"/>
    <w:rsid w:val="1E380731"/>
    <w:rsid w:val="1E405250"/>
    <w:rsid w:val="1ECB1627"/>
    <w:rsid w:val="1EE95587"/>
    <w:rsid w:val="1F2303ED"/>
    <w:rsid w:val="1F422EEA"/>
    <w:rsid w:val="1F533C43"/>
    <w:rsid w:val="1F980D5B"/>
    <w:rsid w:val="1FEF4E1F"/>
    <w:rsid w:val="20354F75"/>
    <w:rsid w:val="20F57F95"/>
    <w:rsid w:val="211F1C85"/>
    <w:rsid w:val="21951EA0"/>
    <w:rsid w:val="22A44D4F"/>
    <w:rsid w:val="22AC349C"/>
    <w:rsid w:val="22B20D45"/>
    <w:rsid w:val="22FE2E67"/>
    <w:rsid w:val="2302130E"/>
    <w:rsid w:val="23201794"/>
    <w:rsid w:val="23B51EDC"/>
    <w:rsid w:val="23EC0578"/>
    <w:rsid w:val="240371BF"/>
    <w:rsid w:val="244178FB"/>
    <w:rsid w:val="24B215EA"/>
    <w:rsid w:val="25714529"/>
    <w:rsid w:val="25783F7E"/>
    <w:rsid w:val="25C741E6"/>
    <w:rsid w:val="25F523B1"/>
    <w:rsid w:val="25FD07F9"/>
    <w:rsid w:val="26233A75"/>
    <w:rsid w:val="263E203F"/>
    <w:rsid w:val="26492DAF"/>
    <w:rsid w:val="26BE27D8"/>
    <w:rsid w:val="274858F1"/>
    <w:rsid w:val="27533EE6"/>
    <w:rsid w:val="27765E26"/>
    <w:rsid w:val="27842671"/>
    <w:rsid w:val="27E16DDC"/>
    <w:rsid w:val="282D1E6D"/>
    <w:rsid w:val="2858552C"/>
    <w:rsid w:val="28700AC7"/>
    <w:rsid w:val="287F04F0"/>
    <w:rsid w:val="29581C87"/>
    <w:rsid w:val="297F3900"/>
    <w:rsid w:val="29854F0E"/>
    <w:rsid w:val="298C1931"/>
    <w:rsid w:val="29BD7D3C"/>
    <w:rsid w:val="29F80C46"/>
    <w:rsid w:val="29FD04D3"/>
    <w:rsid w:val="2A0C7F45"/>
    <w:rsid w:val="2A3158BD"/>
    <w:rsid w:val="2AB52686"/>
    <w:rsid w:val="2ABE7A3E"/>
    <w:rsid w:val="2B33475A"/>
    <w:rsid w:val="2B397896"/>
    <w:rsid w:val="2B732DA8"/>
    <w:rsid w:val="2BFB0EC9"/>
    <w:rsid w:val="2C9C2577"/>
    <w:rsid w:val="2C9F7BCD"/>
    <w:rsid w:val="2D0D0315"/>
    <w:rsid w:val="2D212671"/>
    <w:rsid w:val="2D2F71A3"/>
    <w:rsid w:val="2D7C01FC"/>
    <w:rsid w:val="2DCF25AB"/>
    <w:rsid w:val="2E953036"/>
    <w:rsid w:val="2ED14997"/>
    <w:rsid w:val="2EDF1EEC"/>
    <w:rsid w:val="2EFA178C"/>
    <w:rsid w:val="2F620E0B"/>
    <w:rsid w:val="2F915084"/>
    <w:rsid w:val="30240DD2"/>
    <w:rsid w:val="30550CCF"/>
    <w:rsid w:val="30B46D73"/>
    <w:rsid w:val="31146F10"/>
    <w:rsid w:val="311B0741"/>
    <w:rsid w:val="316D17B6"/>
    <w:rsid w:val="319F7F4E"/>
    <w:rsid w:val="31ED74BA"/>
    <w:rsid w:val="320B5D82"/>
    <w:rsid w:val="322E2306"/>
    <w:rsid w:val="326D3AC1"/>
    <w:rsid w:val="334C07D0"/>
    <w:rsid w:val="33AA1331"/>
    <w:rsid w:val="345F4913"/>
    <w:rsid w:val="346A65AA"/>
    <w:rsid w:val="34DF500B"/>
    <w:rsid w:val="358636D8"/>
    <w:rsid w:val="35A83A34"/>
    <w:rsid w:val="36572E74"/>
    <w:rsid w:val="368A369C"/>
    <w:rsid w:val="36EC3A0F"/>
    <w:rsid w:val="36FD5C1C"/>
    <w:rsid w:val="373D24BC"/>
    <w:rsid w:val="37CB215C"/>
    <w:rsid w:val="385E6E10"/>
    <w:rsid w:val="38BB5D8F"/>
    <w:rsid w:val="39243934"/>
    <w:rsid w:val="398268AC"/>
    <w:rsid w:val="399D57E9"/>
    <w:rsid w:val="39AE70AB"/>
    <w:rsid w:val="39B174BE"/>
    <w:rsid w:val="39C173D5"/>
    <w:rsid w:val="39CB625E"/>
    <w:rsid w:val="39EE124D"/>
    <w:rsid w:val="3A0C141E"/>
    <w:rsid w:val="3B622E89"/>
    <w:rsid w:val="3B89229C"/>
    <w:rsid w:val="3BD50F16"/>
    <w:rsid w:val="3C0C0783"/>
    <w:rsid w:val="3C664263"/>
    <w:rsid w:val="3C9600BD"/>
    <w:rsid w:val="3CAF5690"/>
    <w:rsid w:val="3CDE3FF9"/>
    <w:rsid w:val="3CEB6517"/>
    <w:rsid w:val="3D1870EB"/>
    <w:rsid w:val="3D3879AE"/>
    <w:rsid w:val="3D6A2EE3"/>
    <w:rsid w:val="3DA70D32"/>
    <w:rsid w:val="3DA725CA"/>
    <w:rsid w:val="3DFD6502"/>
    <w:rsid w:val="3F2721CB"/>
    <w:rsid w:val="3F4E4F22"/>
    <w:rsid w:val="3F6F51DD"/>
    <w:rsid w:val="3F795B0E"/>
    <w:rsid w:val="3F9F3A96"/>
    <w:rsid w:val="3FD62CE5"/>
    <w:rsid w:val="40062F43"/>
    <w:rsid w:val="40350D30"/>
    <w:rsid w:val="40364CA5"/>
    <w:rsid w:val="403A1C8F"/>
    <w:rsid w:val="40552625"/>
    <w:rsid w:val="407C4498"/>
    <w:rsid w:val="409D366B"/>
    <w:rsid w:val="40AB1398"/>
    <w:rsid w:val="40F0234E"/>
    <w:rsid w:val="417E3DFD"/>
    <w:rsid w:val="41A226F7"/>
    <w:rsid w:val="42156510"/>
    <w:rsid w:val="422160C2"/>
    <w:rsid w:val="426052B1"/>
    <w:rsid w:val="42B7589F"/>
    <w:rsid w:val="42D75573"/>
    <w:rsid w:val="435D7EA6"/>
    <w:rsid w:val="43D23F8D"/>
    <w:rsid w:val="43D272E4"/>
    <w:rsid w:val="43F4344F"/>
    <w:rsid w:val="441535F0"/>
    <w:rsid w:val="444A7FC7"/>
    <w:rsid w:val="44654CD5"/>
    <w:rsid w:val="4474739F"/>
    <w:rsid w:val="44821F03"/>
    <w:rsid w:val="44D80DF4"/>
    <w:rsid w:val="45187F71"/>
    <w:rsid w:val="45240818"/>
    <w:rsid w:val="45AC635D"/>
    <w:rsid w:val="463F1DAD"/>
    <w:rsid w:val="46431172"/>
    <w:rsid w:val="467F664E"/>
    <w:rsid w:val="469D7B41"/>
    <w:rsid w:val="46AB5D8D"/>
    <w:rsid w:val="46AD35E7"/>
    <w:rsid w:val="46AE75A8"/>
    <w:rsid w:val="470C4275"/>
    <w:rsid w:val="47186111"/>
    <w:rsid w:val="475C24EB"/>
    <w:rsid w:val="478D2F9B"/>
    <w:rsid w:val="47CD6DB6"/>
    <w:rsid w:val="487D5BC7"/>
    <w:rsid w:val="490948F4"/>
    <w:rsid w:val="493556E9"/>
    <w:rsid w:val="493C27E9"/>
    <w:rsid w:val="496F39ED"/>
    <w:rsid w:val="49B04D70"/>
    <w:rsid w:val="49B36DD7"/>
    <w:rsid w:val="49F03145"/>
    <w:rsid w:val="49FE1F7F"/>
    <w:rsid w:val="49FF41D3"/>
    <w:rsid w:val="4A185DC8"/>
    <w:rsid w:val="4A834233"/>
    <w:rsid w:val="4AE72A13"/>
    <w:rsid w:val="4B8478C2"/>
    <w:rsid w:val="4BE068DB"/>
    <w:rsid w:val="4BE941BF"/>
    <w:rsid w:val="4BF6002B"/>
    <w:rsid w:val="4C26756B"/>
    <w:rsid w:val="4C3512DC"/>
    <w:rsid w:val="4C7C718B"/>
    <w:rsid w:val="4D586F74"/>
    <w:rsid w:val="4D771B03"/>
    <w:rsid w:val="4DCB03CA"/>
    <w:rsid w:val="4E1E2F1E"/>
    <w:rsid w:val="4E6F6FA8"/>
    <w:rsid w:val="4EC54E1A"/>
    <w:rsid w:val="4ECE2238"/>
    <w:rsid w:val="4EEB10E2"/>
    <w:rsid w:val="4F251D5C"/>
    <w:rsid w:val="4F4977F9"/>
    <w:rsid w:val="4F9B479A"/>
    <w:rsid w:val="4FB414C0"/>
    <w:rsid w:val="500C1105"/>
    <w:rsid w:val="50454464"/>
    <w:rsid w:val="507E220B"/>
    <w:rsid w:val="50A13664"/>
    <w:rsid w:val="50D6330E"/>
    <w:rsid w:val="50E45D0C"/>
    <w:rsid w:val="50FB4F07"/>
    <w:rsid w:val="515C5C04"/>
    <w:rsid w:val="51890380"/>
    <w:rsid w:val="51DB4B86"/>
    <w:rsid w:val="51F24E50"/>
    <w:rsid w:val="52483D98"/>
    <w:rsid w:val="52691F60"/>
    <w:rsid w:val="52DE64AA"/>
    <w:rsid w:val="52E351D4"/>
    <w:rsid w:val="52EA4E4F"/>
    <w:rsid w:val="530A54F1"/>
    <w:rsid w:val="53807425"/>
    <w:rsid w:val="538D4749"/>
    <w:rsid w:val="540609FD"/>
    <w:rsid w:val="54ED4041"/>
    <w:rsid w:val="551255C6"/>
    <w:rsid w:val="55333C3E"/>
    <w:rsid w:val="561F12B3"/>
    <w:rsid w:val="566B274A"/>
    <w:rsid w:val="56C25E2A"/>
    <w:rsid w:val="56EE5F13"/>
    <w:rsid w:val="572F6D92"/>
    <w:rsid w:val="573B036F"/>
    <w:rsid w:val="57547BA2"/>
    <w:rsid w:val="576C677A"/>
    <w:rsid w:val="57CA16F3"/>
    <w:rsid w:val="583B614D"/>
    <w:rsid w:val="58D02D39"/>
    <w:rsid w:val="58FD357F"/>
    <w:rsid w:val="594172FB"/>
    <w:rsid w:val="59615CF1"/>
    <w:rsid w:val="596F1C4E"/>
    <w:rsid w:val="59BC1C5B"/>
    <w:rsid w:val="5A5B2AD6"/>
    <w:rsid w:val="5B6B4F9B"/>
    <w:rsid w:val="5BA83AF9"/>
    <w:rsid w:val="5BB71F8E"/>
    <w:rsid w:val="5C0E211D"/>
    <w:rsid w:val="5C1271C4"/>
    <w:rsid w:val="5C6519EA"/>
    <w:rsid w:val="5CD36CE9"/>
    <w:rsid w:val="5D167CB7"/>
    <w:rsid w:val="5D7A3273"/>
    <w:rsid w:val="5D973C24"/>
    <w:rsid w:val="5DB239C4"/>
    <w:rsid w:val="5E5D5598"/>
    <w:rsid w:val="5E6F08FE"/>
    <w:rsid w:val="5E78682F"/>
    <w:rsid w:val="5EDA2A8E"/>
    <w:rsid w:val="5EF36AB3"/>
    <w:rsid w:val="5F182D44"/>
    <w:rsid w:val="5F366DC5"/>
    <w:rsid w:val="5F9E6F48"/>
    <w:rsid w:val="5FD4310E"/>
    <w:rsid w:val="5FEB7FCE"/>
    <w:rsid w:val="60123C37"/>
    <w:rsid w:val="603B3946"/>
    <w:rsid w:val="60D43F9D"/>
    <w:rsid w:val="61D83523"/>
    <w:rsid w:val="622F287E"/>
    <w:rsid w:val="62CC631F"/>
    <w:rsid w:val="630A6E47"/>
    <w:rsid w:val="6333639E"/>
    <w:rsid w:val="6372325E"/>
    <w:rsid w:val="637311F2"/>
    <w:rsid w:val="64313187"/>
    <w:rsid w:val="64526CF8"/>
    <w:rsid w:val="64CA39A1"/>
    <w:rsid w:val="64FE1F1E"/>
    <w:rsid w:val="65360604"/>
    <w:rsid w:val="6562371F"/>
    <w:rsid w:val="6575626B"/>
    <w:rsid w:val="658D4445"/>
    <w:rsid w:val="65CB0B10"/>
    <w:rsid w:val="661E05A7"/>
    <w:rsid w:val="668F5FE1"/>
    <w:rsid w:val="66A85976"/>
    <w:rsid w:val="66B24AFA"/>
    <w:rsid w:val="66CA0DC7"/>
    <w:rsid w:val="66D27D71"/>
    <w:rsid w:val="676953BD"/>
    <w:rsid w:val="679C1417"/>
    <w:rsid w:val="67AB0BF9"/>
    <w:rsid w:val="67E27BEE"/>
    <w:rsid w:val="68024591"/>
    <w:rsid w:val="681C38A5"/>
    <w:rsid w:val="6861124B"/>
    <w:rsid w:val="686F5878"/>
    <w:rsid w:val="68BD35CA"/>
    <w:rsid w:val="68DC4DE2"/>
    <w:rsid w:val="692C3D8E"/>
    <w:rsid w:val="693D5B23"/>
    <w:rsid w:val="69513A22"/>
    <w:rsid w:val="69C42446"/>
    <w:rsid w:val="6A0C68D1"/>
    <w:rsid w:val="6A244C92"/>
    <w:rsid w:val="6AAD4C88"/>
    <w:rsid w:val="6AF03B85"/>
    <w:rsid w:val="6C0344CC"/>
    <w:rsid w:val="6C0E1756"/>
    <w:rsid w:val="6C2B055A"/>
    <w:rsid w:val="6C4A05C8"/>
    <w:rsid w:val="6C4B6300"/>
    <w:rsid w:val="6C8E6020"/>
    <w:rsid w:val="6CDF3526"/>
    <w:rsid w:val="6D8617C0"/>
    <w:rsid w:val="6DB63E53"/>
    <w:rsid w:val="6E162B44"/>
    <w:rsid w:val="6E573888"/>
    <w:rsid w:val="6E575C64"/>
    <w:rsid w:val="6E6D6BF9"/>
    <w:rsid w:val="6EA57C83"/>
    <w:rsid w:val="6EDF73DA"/>
    <w:rsid w:val="6EF07839"/>
    <w:rsid w:val="6F3D6577"/>
    <w:rsid w:val="6F4A1393"/>
    <w:rsid w:val="6F4B0F13"/>
    <w:rsid w:val="6F5D7D7F"/>
    <w:rsid w:val="6FAD59C7"/>
    <w:rsid w:val="70205514"/>
    <w:rsid w:val="702A0CA0"/>
    <w:rsid w:val="708E22F4"/>
    <w:rsid w:val="70B52AE8"/>
    <w:rsid w:val="711F61B4"/>
    <w:rsid w:val="714A696E"/>
    <w:rsid w:val="715D70BF"/>
    <w:rsid w:val="717D674A"/>
    <w:rsid w:val="71BC1C54"/>
    <w:rsid w:val="725B74A5"/>
    <w:rsid w:val="72734D90"/>
    <w:rsid w:val="72AE3C93"/>
    <w:rsid w:val="72B305E9"/>
    <w:rsid w:val="72B55021"/>
    <w:rsid w:val="72D93E0F"/>
    <w:rsid w:val="730E5122"/>
    <w:rsid w:val="73533411"/>
    <w:rsid w:val="735C01EE"/>
    <w:rsid w:val="737806BA"/>
    <w:rsid w:val="73803858"/>
    <w:rsid w:val="73A14B3F"/>
    <w:rsid w:val="73A155A6"/>
    <w:rsid w:val="73C765AC"/>
    <w:rsid w:val="73FE5F31"/>
    <w:rsid w:val="74701AFD"/>
    <w:rsid w:val="749938F4"/>
    <w:rsid w:val="74A72014"/>
    <w:rsid w:val="74CE4179"/>
    <w:rsid w:val="75066964"/>
    <w:rsid w:val="75224E28"/>
    <w:rsid w:val="76091299"/>
    <w:rsid w:val="76391AC6"/>
    <w:rsid w:val="76A333E3"/>
    <w:rsid w:val="76C21ABB"/>
    <w:rsid w:val="76EB62E1"/>
    <w:rsid w:val="77E617D9"/>
    <w:rsid w:val="78033604"/>
    <w:rsid w:val="78332EEC"/>
    <w:rsid w:val="784361C6"/>
    <w:rsid w:val="787F686D"/>
    <w:rsid w:val="789254BD"/>
    <w:rsid w:val="78F87A16"/>
    <w:rsid w:val="794747D7"/>
    <w:rsid w:val="79725A1A"/>
    <w:rsid w:val="79E7B28D"/>
    <w:rsid w:val="79FC3536"/>
    <w:rsid w:val="7A18469E"/>
    <w:rsid w:val="7A2C1C7D"/>
    <w:rsid w:val="7A7A05ED"/>
    <w:rsid w:val="7B2A4408"/>
    <w:rsid w:val="7C775BAB"/>
    <w:rsid w:val="7C89243E"/>
    <w:rsid w:val="7D31279F"/>
    <w:rsid w:val="7D751CB9"/>
    <w:rsid w:val="7D8950E1"/>
    <w:rsid w:val="7DD02D0F"/>
    <w:rsid w:val="7E092F4D"/>
    <w:rsid w:val="7E0B3D48"/>
    <w:rsid w:val="7E154BC6"/>
    <w:rsid w:val="7E3F02D2"/>
    <w:rsid w:val="7F3C6183"/>
    <w:rsid w:val="7F673200"/>
    <w:rsid w:val="7F9F20EE"/>
    <w:rsid w:val="7FBB354B"/>
    <w:rsid w:val="7FC44AF6"/>
    <w:rsid w:val="7FCB7C32"/>
    <w:rsid w:val="7FD05F0C"/>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8"/>
        <o:r id="V:Rule3" type="connector" idref="#_x0000_s1031"/>
        <o:r id="V:Rule4" type="connector" idref="#_x0000_s1033"/>
        <o:r id="V:Rule5"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qFormat/>
    <w:uiPriority w:val="0"/>
    <w:pPr>
      <w:snapToGrid w:val="0"/>
      <w:jc w:val="left"/>
    </w:pPr>
    <w:rPr>
      <w:sz w:val="18"/>
      <w:szCs w:val="1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qFormat/>
    <w:uiPriority w:val="99"/>
    <w:pPr>
      <w:ind w:firstLine="420" w:firstLineChars="200"/>
    </w:pPr>
    <w:rPr>
      <w:rFonts w:ascii="Calibri" w:hAnsi="Calibri"/>
      <w:szCs w:val="22"/>
    </w:r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font21"/>
    <w:basedOn w:val="16"/>
    <w:qFormat/>
    <w:uiPriority w:val="0"/>
    <w:rPr>
      <w:rFonts w:hint="eastAsia" w:ascii="宋体" w:hAnsi="宋体" w:eastAsia="宋体" w:cs="宋体"/>
      <w:color w:val="000000"/>
      <w:sz w:val="24"/>
      <w:szCs w:val="24"/>
      <w:u w:val="none"/>
    </w:rPr>
  </w:style>
  <w:style w:type="character" w:customStyle="1" w:styleId="35">
    <w:name w:val="font31"/>
    <w:basedOn w:val="16"/>
    <w:qFormat/>
    <w:uiPriority w:val="0"/>
    <w:rPr>
      <w:rFonts w:hint="eastAsia" w:ascii="宋体" w:hAnsi="宋体" w:eastAsia="宋体"/>
      <w:color w:val="000000"/>
      <w:sz w:val="22"/>
      <w:szCs w:val="22"/>
      <w:u w:val="none"/>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86738351254"/>
          <c:y val="0.113609645651983"/>
          <c:w val="0.812071878359699"/>
          <c:h val="0.753774509803922"/>
        </c:manualLayout>
      </c:layout>
      <c:barChart>
        <c:barDir val="col"/>
        <c:grouping val="clustered"/>
        <c:varyColors val="0"/>
        <c:ser>
          <c:idx val="0"/>
          <c:order val="0"/>
          <c:spPr>
            <a:solidFill>
              <a:schemeClr val="accent1"/>
            </a:solidFill>
            <a:ln>
              <a:noFill/>
            </a:ln>
            <a:effectLst/>
          </c:spPr>
          <c:invertIfNegative val="0"/>
          <c:dLbls>
            <c:delete val="1"/>
          </c:dLbls>
          <c:cat>
            <c:strRef>
              <c:f>[工作簿1]Sheet1!$G$5:$G$6</c:f>
              <c:strCache>
                <c:ptCount val="2"/>
                <c:pt idx="0">
                  <c:v>2020年</c:v>
                </c:pt>
                <c:pt idx="1">
                  <c:v>2021年</c:v>
                </c:pt>
              </c:strCache>
            </c:strRef>
          </c:cat>
          <c:val>
            <c:numRef>
              <c:f>[工作簿1]Sheet1!$H$5:$H$6</c:f>
              <c:numCache>
                <c:formatCode>General</c:formatCode>
                <c:ptCount val="2"/>
                <c:pt idx="0">
                  <c:v>2623.18</c:v>
                </c:pt>
                <c:pt idx="1">
                  <c:v>2953.96</c:v>
                </c:pt>
              </c:numCache>
            </c:numRef>
          </c:val>
        </c:ser>
        <c:dLbls>
          <c:showLegendKey val="0"/>
          <c:showVal val="0"/>
          <c:showCatName val="0"/>
          <c:showSerName val="0"/>
          <c:showPercent val="0"/>
          <c:showBubbleSize val="0"/>
        </c:dLbls>
        <c:gapWidth val="219"/>
        <c:overlap val="-27"/>
        <c:axId val="265865472"/>
        <c:axId val="267323264"/>
      </c:barChart>
      <c:catAx>
        <c:axId val="26586547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323264"/>
        <c:crosses val="autoZero"/>
        <c:auto val="1"/>
        <c:lblAlgn val="ctr"/>
        <c:lblOffset val="100"/>
        <c:noMultiLvlLbl val="0"/>
      </c:catAx>
      <c:valAx>
        <c:axId val="267323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865472"/>
        <c:crosses val="autoZero"/>
        <c:crossBetween val="between"/>
      </c:valAx>
      <c:spPr>
        <a:noFill/>
        <a:ln>
          <a:noFill/>
        </a:ln>
        <a:effectLst/>
      </c:spPr>
    </c:plotArea>
    <c:plotVisOnly val="1"/>
    <c:dispBlanksAs val="gap"/>
    <c:showDLblsOverMax val="0"/>
  </c:chart>
  <c:spPr>
    <a:noFill/>
    <a:ln w="9525" cap="flat" cmpd="sng" algn="ctr">
      <a:solidFill>
        <a:schemeClr val="bg1">
          <a:lumMod val="10000"/>
        </a:schemeClr>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rPr>
              <a:t>本年收入合计</a:t>
            </a:r>
            <a:endParaRPr>
              <a:solidFill>
                <a:sysClr val="windowText" lastClr="000000"/>
              </a:solidFill>
            </a:endParaRPr>
          </a:p>
        </c:rich>
      </c:tx>
      <c:layout>
        <c:manualLayout>
          <c:xMode val="edge"/>
          <c:yMode val="edge"/>
          <c:x val="0.381805555555556"/>
          <c:y val="0.0347222222222222"/>
        </c:manualLayout>
      </c:layout>
      <c:overlay val="0"/>
      <c:spPr>
        <a:noFill/>
        <a:ln>
          <a:noFill/>
        </a:ln>
        <a:effectLst/>
      </c:spPr>
    </c:title>
    <c:autoTitleDeleted val="0"/>
    <c:plotArea>
      <c:layout/>
      <c:pieChart>
        <c:varyColors val="1"/>
        <c:ser>
          <c:idx val="0"/>
          <c:order val="0"/>
          <c:tx>
            <c:strRef>
              <c:f>[工作簿1]Sheet1!$F$91</c:f>
              <c:strCache>
                <c:ptCount val="1"/>
                <c:pt idx="0">
                  <c:v>一般公共预算财政拨款收入</c:v>
                </c:pt>
              </c:strCache>
            </c:strRef>
          </c:tx>
          <c:explosion val="0"/>
          <c:dPt>
            <c:idx val="0"/>
            <c:bubble3D val="0"/>
            <c:explosion val="1"/>
            <c:spPr>
              <a:solidFill>
                <a:schemeClr val="accent1"/>
              </a:solidFill>
              <a:ln w="19050">
                <a:solidFill>
                  <a:schemeClr val="lt1"/>
                </a:solidFill>
              </a:ln>
              <a:effectLst/>
            </c:spPr>
          </c:dPt>
          <c:dLbls>
            <c:delete val="1"/>
          </c:dLbls>
          <c:val>
            <c:numRef>
              <c:f>[工作簿1]Sheet1!$G$91</c:f>
              <c:numCache>
                <c:formatCode>General</c:formatCode>
                <c:ptCount val="1"/>
                <c:pt idx="0">
                  <c:v>2547.98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534005037783"/>
          <c:y val="0.221859221859222"/>
          <c:w val="0.400503778337531"/>
          <c:h val="0.708345708345708"/>
        </c:manualLayout>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[工作簿1]Sheet1!$F$129:$F$130</c:f>
              <c:strCache>
                <c:ptCount val="2"/>
                <c:pt idx="0">
                  <c:v>基本支出</c:v>
                </c:pt>
                <c:pt idx="1">
                  <c:v>项目支出</c:v>
                </c:pt>
              </c:strCache>
            </c:strRef>
          </c:cat>
          <c:val>
            <c:numRef>
              <c:f>[工作簿1]Sheet1!$G$129:$G$130</c:f>
              <c:numCache>
                <c:formatCode>General</c:formatCode>
                <c:ptCount val="2"/>
                <c:pt idx="0">
                  <c:v>1624.49</c:v>
                </c:pt>
                <c:pt idx="1">
                  <c:v>685.01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3853904282116"/>
          <c:y val="0.4008019008019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no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[工作簿1]Sheet1!$E$10:$E$11</c:f>
              <c:strCache>
                <c:ptCount val="2"/>
                <c:pt idx="0">
                  <c:v>2020年</c:v>
                </c:pt>
                <c:pt idx="1">
                  <c:v>2021年</c:v>
                </c:pt>
              </c:strCache>
            </c:strRef>
          </c:cat>
          <c:val>
            <c:numRef>
              <c:f>[工作簿1]Sheet1!$F$10:$F$11</c:f>
              <c:numCache>
                <c:formatCode>General</c:formatCode>
                <c:ptCount val="2"/>
                <c:pt idx="0">
                  <c:v>2622.78</c:v>
                </c:pt>
                <c:pt idx="1">
                  <c:v>2953.57</c:v>
                </c:pt>
              </c:numCache>
            </c:numRef>
          </c:val>
        </c:ser>
        <c:dLbls>
          <c:showLegendKey val="0"/>
          <c:showVal val="0"/>
          <c:showCatName val="0"/>
          <c:showSerName val="0"/>
          <c:showPercent val="0"/>
          <c:showBubbleSize val="0"/>
        </c:dLbls>
        <c:gapWidth val="219"/>
        <c:overlap val="-27"/>
        <c:axId val="344066688"/>
        <c:axId val="344080768"/>
      </c:barChart>
      <c:catAx>
        <c:axId val="34406668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080768"/>
        <c:crosses val="autoZero"/>
        <c:auto val="1"/>
        <c:lblAlgn val="ctr"/>
        <c:lblOffset val="100"/>
        <c:noMultiLvlLbl val="0"/>
      </c:catAx>
      <c:valAx>
        <c:axId val="3440807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066688"/>
        <c:crosses val="autoZero"/>
        <c:crossBetween val="between"/>
      </c:valAx>
      <c:spPr>
        <a:noFill/>
        <a:ln>
          <a:noFill/>
        </a:ln>
        <a:effectLst/>
      </c:spPr>
    </c:plotArea>
    <c:plotVisOnly val="1"/>
    <c:dispBlanksAs val="gap"/>
    <c:showDLblsOverMax val="0"/>
  </c:chart>
  <c:spPr>
    <a:no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426324380472"/>
          <c:y val="0.0584004602991945"/>
          <c:w val="0.873927882475145"/>
          <c:h val="0.797583429228999"/>
        </c:manualLayout>
      </c:layout>
      <c:barChart>
        <c:barDir val="col"/>
        <c:grouping val="clustered"/>
        <c:varyColors val="0"/>
        <c:ser>
          <c:idx val="0"/>
          <c:order val="0"/>
          <c:spPr>
            <a:solidFill>
              <a:schemeClr val="accent1"/>
            </a:solidFill>
            <a:ln>
              <a:noFill/>
            </a:ln>
            <a:effectLst/>
          </c:spPr>
          <c:invertIfNegative val="0"/>
          <c:dLbls>
            <c:delete val="1"/>
          </c:dLbls>
          <c:cat>
            <c:strRef>
              <c:f>[工作簿1]Sheet1!$E$10:$E$11</c:f>
              <c:strCache>
                <c:ptCount val="2"/>
                <c:pt idx="0">
                  <c:v>2020年</c:v>
                </c:pt>
                <c:pt idx="1">
                  <c:v>2021年</c:v>
                </c:pt>
              </c:strCache>
            </c:strRef>
          </c:cat>
          <c:val>
            <c:numRef>
              <c:f>[工作簿1]Sheet1!$F$10:$F$11</c:f>
              <c:numCache>
                <c:formatCode>General</c:formatCode>
                <c:ptCount val="2"/>
                <c:pt idx="0">
                  <c:v>2217.41</c:v>
                </c:pt>
                <c:pt idx="1">
                  <c:v>2307.17</c:v>
                </c:pt>
              </c:numCache>
            </c:numRef>
          </c:val>
        </c:ser>
        <c:dLbls>
          <c:showLegendKey val="0"/>
          <c:showVal val="0"/>
          <c:showCatName val="0"/>
          <c:showSerName val="0"/>
          <c:showPercent val="0"/>
          <c:showBubbleSize val="0"/>
        </c:dLbls>
        <c:gapWidth val="219"/>
        <c:overlap val="-27"/>
        <c:axId val="344108416"/>
        <c:axId val="344118400"/>
      </c:barChart>
      <c:catAx>
        <c:axId val="3441084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118400"/>
        <c:crosses val="autoZero"/>
        <c:auto val="1"/>
        <c:lblAlgn val="ctr"/>
        <c:lblOffset val="100"/>
        <c:noMultiLvlLbl val="0"/>
      </c:catAx>
      <c:valAx>
        <c:axId val="344118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108416"/>
        <c:crosses val="autoZero"/>
        <c:crossBetween val="between"/>
      </c:valAx>
      <c:spPr>
        <a:noFill/>
        <a:ln>
          <a:noFill/>
        </a:ln>
        <a:effectLst/>
      </c:spPr>
    </c:plotArea>
    <c:plotVisOnly val="1"/>
    <c:dispBlanksAs val="gap"/>
    <c:showDLblsOverMax val="0"/>
  </c:chart>
  <c:spPr>
    <a:no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[工作簿1]Sheet1!$F$4:$F$7</c:f>
              <c:strCache>
                <c:ptCount val="4"/>
                <c:pt idx="0">
                  <c:v>社会保障和就业（类）支出</c:v>
                </c:pt>
                <c:pt idx="1">
                  <c:v>一般公共服务（类）支出</c:v>
                </c:pt>
                <c:pt idx="2">
                  <c:v>卫生健康支出</c:v>
                </c:pt>
                <c:pt idx="3">
                  <c:v>住房保障支出</c:v>
                </c:pt>
              </c:strCache>
            </c:strRef>
          </c:cat>
          <c:val>
            <c:numRef>
              <c:f>[工作簿1]Sheet1!$G$4:$G$7</c:f>
              <c:numCache>
                <c:formatCode>General</c:formatCode>
                <c:ptCount val="4"/>
                <c:pt idx="0">
                  <c:v>2129.39</c:v>
                </c:pt>
                <c:pt idx="1">
                  <c:v>16.8</c:v>
                </c:pt>
                <c:pt idx="2">
                  <c:v>48.16</c:v>
                </c:pt>
                <c:pt idx="3">
                  <c:v>114.82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9819392975752"/>
          <c:y val="0.61129476584022"/>
          <c:w val="0.332272990167727"/>
          <c:h val="0.3391184573002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[工作簿1]Sheet1!$K$11:$K$12</c:f>
              <c:strCache>
                <c:ptCount val="2"/>
                <c:pt idx="0">
                  <c:v>公务用车购置及运行维护费</c:v>
                </c:pt>
                <c:pt idx="1">
                  <c:v>公务接待费</c:v>
                </c:pt>
              </c:strCache>
            </c:strRef>
          </c:cat>
          <c:val>
            <c:numRef>
              <c:f>[工作簿1]Sheet1!$L$11:$L$12</c:f>
              <c:numCache>
                <c:formatCode>General</c:formatCode>
                <c:ptCount val="2"/>
                <c:pt idx="0">
                  <c:v>5.79</c:v>
                </c:pt>
                <c:pt idx="1">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0.71298</cdr:x>
      <cdr:y>0.39008</cdr:y>
    </cdr:from>
    <cdr:to>
      <cdr:x>0.98685</cdr:x>
      <cdr:y>0.68857</cdr:y>
    </cdr:to>
    <cdr:sp>
      <cdr:nvSpPr>
        <cdr:cNvPr id="2" name="矩形 1"/>
        <cdr:cNvSpPr/>
      </cdr:nvSpPr>
      <cdr:spPr xmlns:a="http://schemas.openxmlformats.org/drawingml/2006/main">
        <a:xfrm xmlns:a="http://schemas.openxmlformats.org/drawingml/2006/main">
          <a:off x="2479675" y="784225"/>
          <a:ext cx="952500" cy="6000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900"/>
            <a:t>5.79</a:t>
          </a:r>
          <a:r>
            <a:rPr lang="zh-CN" altLang="en-US" sz="900"/>
            <a:t>万元，</a:t>
          </a:r>
          <a:endParaRPr lang="zh-CN" altLang="en-US" sz="900"/>
        </a:p>
        <a:p>
          <a:r>
            <a:rPr lang="zh-CN" altLang="en-US" sz="900"/>
            <a:t>占</a:t>
          </a:r>
          <a:r>
            <a:rPr lang="en-US" altLang="zh-CN" sz="900"/>
            <a:t>59.14%</a:t>
          </a:r>
          <a:endParaRPr lang="en-US" altLang="zh-CN" sz="900"/>
        </a:p>
      </cdr:txBody>
    </cdr:sp>
  </cdr:relSizeAnchor>
  <cdr:relSizeAnchor xmlns:cdr="http://schemas.openxmlformats.org/drawingml/2006/chartDrawing">
    <cdr:from>
      <cdr:x>0.08034</cdr:x>
      <cdr:y>0.19615</cdr:y>
    </cdr:from>
    <cdr:to>
      <cdr:x>0.31842</cdr:x>
      <cdr:y>0.4422</cdr:y>
    </cdr:to>
    <cdr:sp>
      <cdr:nvSpPr>
        <cdr:cNvPr id="3" name="矩形 2"/>
        <cdr:cNvSpPr/>
      </cdr:nvSpPr>
      <cdr:spPr xmlns:a="http://schemas.openxmlformats.org/drawingml/2006/main">
        <a:xfrm xmlns:a="http://schemas.openxmlformats.org/drawingml/2006/main">
          <a:off x="279400" y="394335"/>
          <a:ext cx="828040" cy="49466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900"/>
            <a:t>4</a:t>
          </a:r>
          <a:r>
            <a:rPr lang="zh-CN" altLang="en-US" sz="900"/>
            <a:t>万元，</a:t>
          </a:r>
          <a:endParaRPr lang="zh-CN" altLang="en-US" sz="900"/>
        </a:p>
        <a:p>
          <a:r>
            <a:rPr lang="zh-CN" altLang="en-US" sz="900"/>
            <a:t>占</a:t>
          </a:r>
          <a:r>
            <a:rPr lang="en-US" altLang="zh-CN" sz="900"/>
            <a:t>40.86%</a:t>
          </a:r>
          <a:endParaRPr lang="en-US" altLang="zh-CN" sz="900"/>
        </a:p>
      </cdr:txBody>
    </cdr:sp>
  </cdr:relSizeAnchor>
  <cdr:relSizeAnchor xmlns:cdr="http://schemas.openxmlformats.org/drawingml/2006/chartDrawing">
    <cdr:from>
      <cdr:x>0.61986</cdr:x>
      <cdr:y>0.39482</cdr:y>
    </cdr:from>
    <cdr:to>
      <cdr:x>0.71572</cdr:x>
      <cdr:y>0.45167</cdr:y>
    </cdr:to>
    <cdr:cxnSp>
      <cdr:nvCxnSpPr>
        <cdr:cNvPr id="4" name="直接箭头连接符 3"/>
        <cdr:cNvCxnSpPr/>
      </cdr:nvCxnSpPr>
      <cdr:spPr xmlns:a="http://schemas.openxmlformats.org/drawingml/2006/main">
        <a:xfrm xmlns:a="http://schemas.openxmlformats.org/drawingml/2006/main" flipH="1" flipV="1">
          <a:off x="2155825" y="793750"/>
          <a:ext cx="333375" cy="114300"/>
        </a:xfrm>
        <a:prstGeom xmlns:a="http://schemas.openxmlformats.org/drawingml/2006/main" prst="straightConnector1">
          <a:avLst/>
        </a:prstGeom>
        <a:l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0.2107</cdr:x>
      <cdr:y>0.494</cdr:y>
    </cdr:from>
    <cdr:to>
      <cdr:x>0.49106</cdr:x>
      <cdr:y>0.59322</cdr:y>
    </cdr:to>
    <cdr:sp>
      <cdr:nvSpPr>
        <cdr:cNvPr id="2" name="矩形 1"/>
        <cdr:cNvSpPr/>
      </cdr:nvSpPr>
      <cdr:spPr xmlns:a="http://schemas.openxmlformats.org/drawingml/2006/main">
        <a:xfrm xmlns:a="http://schemas.openxmlformats.org/drawingml/2006/main">
          <a:off x="832732" y="1157209"/>
          <a:ext cx="1108036" cy="232407"/>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900"/>
            <a:t>2623.18</a:t>
          </a:r>
          <a:r>
            <a:rPr lang="zh-CN" altLang="en-US" sz="900"/>
            <a:t>万元</a:t>
          </a:r>
          <a:endParaRPr lang="zh-CN" altLang="en-US" sz="900"/>
        </a:p>
      </cdr:txBody>
    </cdr:sp>
  </cdr:relSizeAnchor>
  <cdr:relSizeAnchor xmlns:cdr="http://schemas.openxmlformats.org/drawingml/2006/chartDrawing">
    <cdr:from>
      <cdr:x>0.62635</cdr:x>
      <cdr:y>0.06547</cdr:y>
    </cdr:from>
    <cdr:to>
      <cdr:x>0.85108</cdr:x>
      <cdr:y>0.15994</cdr:y>
    </cdr:to>
    <cdr:sp>
      <cdr:nvSpPr>
        <cdr:cNvPr id="3" name="矩形 2"/>
        <cdr:cNvSpPr/>
      </cdr:nvSpPr>
      <cdr:spPr xmlns:a="http://schemas.openxmlformats.org/drawingml/2006/main">
        <a:xfrm xmlns:a="http://schemas.openxmlformats.org/drawingml/2006/main">
          <a:off x="2475484" y="153366"/>
          <a:ext cx="888192" cy="221296"/>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r>
            <a:rPr lang="en-US" altLang="zh-CN" sz="900"/>
            <a:t>2953.96</a:t>
          </a:r>
          <a:r>
            <a:rPr lang="zh-CN" altLang="en-US" sz="900"/>
            <a:t>万元</a:t>
          </a:r>
          <a:endParaRPr lang="zh-CN" alt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1026"/>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17104</Words>
  <Characters>18160</Characters>
  <Lines>136</Lines>
  <Paragraphs>38</Paragraphs>
  <TotalTime>28</TotalTime>
  <ScaleCrop>false</ScaleCrop>
  <LinksUpToDate>false</LinksUpToDate>
  <CharactersWithSpaces>18341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YY</cp:lastModifiedBy>
  <cp:lastPrinted>2022-08-06T02:23:00Z</cp:lastPrinted>
  <dcterms:modified xsi:type="dcterms:W3CDTF">2023-07-02T10:45:53Z</dcterms:modified>
  <dc:title>四川省***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18C4299B72334D3095585539B3212D20</vt:lpwstr>
  </property>
</Properties>
</file>