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spacing w:line="240" w:lineRule="auto"/>
        <w:ind w:left="0" w:firstLine="0" w:firstLineChars="0"/>
        <w:jc w:val="center"/>
        <w:rPr>
          <w:rFonts w:ascii="方正小标宋简体" w:eastAsia="方正小标宋简体"/>
          <w:b/>
          <w:bCs/>
          <w:sz w:val="72"/>
          <w:szCs w:val="72"/>
        </w:rPr>
      </w:pPr>
      <w:bookmarkStart w:id="25" w:name="_GoBack"/>
      <w:bookmarkEnd w:id="25"/>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spacing w:line="240" w:lineRule="auto"/>
        <w:ind w:left="0" w:firstLine="0" w:firstLineChars="0"/>
        <w:jc w:val="center"/>
        <w:rPr>
          <w:rFonts w:ascii="方正小标宋简体" w:eastAsia="方正小标宋简体"/>
          <w:b/>
          <w:bCs/>
          <w:sz w:val="72"/>
          <w:szCs w:val="7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spacing w:line="240" w:lineRule="auto"/>
        <w:ind w:left="0" w:firstLine="0" w:firstLineChars="0"/>
        <w:jc w:val="center"/>
        <w:rPr>
          <w:rFonts w:ascii="方正小标宋简体" w:eastAsia="方正小标宋简体"/>
          <w:b/>
          <w:bCs/>
          <w:sz w:val="72"/>
          <w:szCs w:val="72"/>
        </w:rPr>
      </w:pPr>
      <w:r>
        <w:rPr>
          <w:rFonts w:hint="eastAsia" w:ascii="方正小标宋简体" w:eastAsia="方正小标宋简体"/>
          <w:b/>
          <w:bCs/>
          <w:sz w:val="72"/>
          <w:szCs w:val="72"/>
        </w:rPr>
        <w:t>2021年</w:t>
      </w:r>
      <w:r>
        <w:rPr>
          <w:rFonts w:ascii="方正小标宋简体" w:eastAsia="方正小标宋简体"/>
          <w:b/>
          <w:bCs/>
          <w:sz w:val="72"/>
          <w:szCs w:val="72"/>
        </w:rPr>
        <w:t>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spacing w:line="240" w:lineRule="auto"/>
        <w:ind w:left="0" w:firstLine="0" w:firstLineChars="0"/>
        <w:jc w:val="center"/>
        <w:rPr>
          <w:rFonts w:hint="eastAsia" w:ascii="方正小标宋简体" w:eastAsia="方正小标宋简体"/>
          <w:b/>
          <w:bCs/>
          <w:sz w:val="72"/>
          <w:szCs w:val="72"/>
        </w:rPr>
      </w:pPr>
      <w:r>
        <w:rPr>
          <w:rFonts w:hint="eastAsia" w:ascii="方正小标宋简体" w:eastAsia="方正小标宋简体"/>
          <w:b/>
          <w:bCs/>
          <w:sz w:val="72"/>
          <w:szCs w:val="72"/>
        </w:rPr>
        <w:t>广元市劳动人事争议仲裁院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spacing w:line="240" w:lineRule="auto"/>
        <w:ind w:left="0" w:firstLine="0" w:firstLineChars="0"/>
        <w:jc w:val="center"/>
        <w:rPr>
          <w:rFonts w:hint="eastAsia" w:ascii="方正小标宋简体" w:eastAsia="方正小标宋简体"/>
          <w:b/>
          <w:bCs/>
          <w:sz w:val="72"/>
          <w:szCs w:val="72"/>
        </w:rPr>
      </w:pPr>
      <w:r>
        <w:rPr>
          <w:rFonts w:hint="eastAsia" w:ascii="方正小标宋简体" w:eastAsia="方正小标宋简体"/>
          <w:b/>
          <w:bCs/>
          <w:sz w:val="72"/>
          <w:szCs w:val="72"/>
        </w:rPr>
        <w:t>部门预算编制说明</w:t>
      </w:r>
    </w:p>
    <w:p>
      <w:pPr>
        <w:pStyle w:val="7"/>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t>目录：</w:t>
      </w:r>
    </w:p>
    <w:p>
      <w:pPr>
        <w:pStyle w:val="7"/>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 TOC \o "1-3" \h \u</w:instrText>
      </w:r>
      <w:r>
        <w:fldChar w:fldCharType="separate"/>
      </w:r>
      <w:r>
        <w:fldChar w:fldCharType="begin"/>
      </w:r>
      <w:r>
        <w:instrText xml:space="preserve">Hyperlink \l "_Toc28866010"</w:instrText>
      </w:r>
      <w:r>
        <w:fldChar w:fldCharType="separate"/>
      </w:r>
      <w:r>
        <w:t>一、基本职能及主要工作</w:t>
      </w:r>
      <w:r>
        <w:tab/>
      </w:r>
      <w:r>
        <w:fldChar w:fldCharType="begin"/>
      </w:r>
      <w:r>
        <w:instrText xml:space="preserve">PageRef _Toc28866010 \h</w:instrText>
      </w:r>
      <w:r>
        <w:fldChar w:fldCharType="separate"/>
      </w:r>
      <w:r>
        <w:t>3</w:t>
      </w:r>
      <w:r>
        <w:fldChar w:fldCharType="end"/>
      </w:r>
      <w:r>
        <w:fldChar w:fldCharType="end"/>
      </w:r>
    </w:p>
    <w:p>
      <w:pPr>
        <w:pStyle w:val="5"/>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"_Toc28866011"</w:instrText>
      </w:r>
      <w:r>
        <w:fldChar w:fldCharType="separate"/>
      </w:r>
      <w:r>
        <w:t>（一）广元市劳动人事争议仲裁院职能简介</w:t>
      </w:r>
      <w:r>
        <w:tab/>
      </w:r>
      <w:r>
        <w:fldChar w:fldCharType="begin"/>
      </w:r>
      <w:r>
        <w:instrText xml:space="preserve">PageRef _Toc28866011 \h</w:instrText>
      </w:r>
      <w:r>
        <w:fldChar w:fldCharType="separate"/>
      </w:r>
      <w:r>
        <w:t>3</w:t>
      </w:r>
      <w:r>
        <w:fldChar w:fldCharType="end"/>
      </w:r>
      <w:r>
        <w:fldChar w:fldCharType="end"/>
      </w:r>
    </w:p>
    <w:p>
      <w:pPr>
        <w:pStyle w:val="5"/>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"_Toc28866012"</w:instrText>
      </w:r>
      <w:r>
        <w:fldChar w:fldCharType="separate"/>
      </w:r>
      <w:r>
        <w:t>（二）广元市劳动人事争议仲裁院2021年重点工作</w:t>
      </w:r>
      <w:r>
        <w:tab/>
      </w:r>
      <w:r>
        <w:fldChar w:fldCharType="begin"/>
      </w:r>
      <w:r>
        <w:instrText xml:space="preserve">PageRef _Toc28866012 \h</w:instrText>
      </w:r>
      <w:r>
        <w:fldChar w:fldCharType="separate"/>
      </w:r>
      <w:r>
        <w:t>3</w:t>
      </w:r>
      <w:r>
        <w:fldChar w:fldCharType="end"/>
      </w:r>
      <w:r>
        <w:fldChar w:fldCharType="end"/>
      </w:r>
    </w:p>
    <w:p>
      <w:pPr>
        <w:pStyle w:val="7"/>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"_Toc28866013"</w:instrText>
      </w:r>
      <w:r>
        <w:fldChar w:fldCharType="separate"/>
      </w:r>
      <w:r>
        <w:t>二、部门预算单位构成</w:t>
      </w:r>
      <w:r>
        <w:tab/>
      </w:r>
      <w:r>
        <w:fldChar w:fldCharType="begin"/>
      </w:r>
      <w:r>
        <w:instrText xml:space="preserve">PageRef _Toc28866013 \h</w:instrText>
      </w:r>
      <w:r>
        <w:fldChar w:fldCharType="separate"/>
      </w:r>
      <w:r>
        <w:t>5</w:t>
      </w:r>
      <w:r>
        <w:fldChar w:fldCharType="end"/>
      </w:r>
      <w:r>
        <w:fldChar w:fldCharType="end"/>
      </w:r>
    </w:p>
    <w:p>
      <w:pPr>
        <w:pStyle w:val="7"/>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"_Toc28866014"</w:instrText>
      </w:r>
      <w:r>
        <w:fldChar w:fldCharType="separate"/>
      </w:r>
      <w:r>
        <w:t>三、2021年财政拨款部门预算情况的总体说明</w:t>
      </w:r>
      <w:r>
        <w:tab/>
      </w:r>
      <w:r>
        <w:fldChar w:fldCharType="begin"/>
      </w:r>
      <w:r>
        <w:instrText xml:space="preserve">PageRef _Toc28866014 \h</w:instrText>
      </w:r>
      <w:r>
        <w:fldChar w:fldCharType="separate"/>
      </w:r>
      <w:r>
        <w:t>5</w:t>
      </w:r>
      <w:r>
        <w:fldChar w:fldCharType="end"/>
      </w:r>
      <w:r>
        <w:fldChar w:fldCharType="end"/>
      </w:r>
    </w:p>
    <w:p>
      <w:pPr>
        <w:pStyle w:val="7"/>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"_Toc28866015"</w:instrText>
      </w:r>
      <w:r>
        <w:fldChar w:fldCharType="separate"/>
      </w:r>
      <w:r>
        <w:t>四、一般公共预算当年财政拨款情况说明</w:t>
      </w:r>
      <w:r>
        <w:tab/>
      </w:r>
      <w:r>
        <w:fldChar w:fldCharType="begin"/>
      </w:r>
      <w:r>
        <w:instrText xml:space="preserve">PageRef _Toc28866015 \h</w:instrText>
      </w:r>
      <w:r>
        <w:fldChar w:fldCharType="separate"/>
      </w:r>
      <w:r>
        <w:t>6</w:t>
      </w:r>
      <w:r>
        <w:fldChar w:fldCharType="end"/>
      </w:r>
      <w:r>
        <w:fldChar w:fldCharType="end"/>
      </w:r>
    </w:p>
    <w:p>
      <w:pPr>
        <w:pStyle w:val="5"/>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"_Toc28866016"</w:instrText>
      </w:r>
      <w:r>
        <w:fldChar w:fldCharType="separate"/>
      </w:r>
      <w:r>
        <w:t>（一）一般公共预算当年财政拨款规模变化情况</w:t>
      </w:r>
      <w:r>
        <w:tab/>
      </w:r>
      <w:r>
        <w:fldChar w:fldCharType="begin"/>
      </w:r>
      <w:r>
        <w:instrText xml:space="preserve">PageRef _Toc28866016 \h</w:instrText>
      </w:r>
      <w:r>
        <w:fldChar w:fldCharType="separate"/>
      </w:r>
      <w:r>
        <w:t>6</w:t>
      </w:r>
      <w:r>
        <w:fldChar w:fldCharType="end"/>
      </w:r>
      <w:r>
        <w:fldChar w:fldCharType="end"/>
      </w:r>
    </w:p>
    <w:p>
      <w:pPr>
        <w:pStyle w:val="5"/>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"_Toc28866017"</w:instrText>
      </w:r>
      <w:r>
        <w:fldChar w:fldCharType="separate"/>
      </w:r>
      <w:r>
        <w:t>（二）一般公共预算当年财政拨款结构情况</w:t>
      </w:r>
      <w:r>
        <w:tab/>
      </w:r>
      <w:r>
        <w:fldChar w:fldCharType="begin"/>
      </w:r>
      <w:r>
        <w:instrText xml:space="preserve">PageRef _Toc28866017 \h</w:instrText>
      </w:r>
      <w:r>
        <w:fldChar w:fldCharType="separate"/>
      </w:r>
      <w:r>
        <w:t>6</w:t>
      </w:r>
      <w:r>
        <w:fldChar w:fldCharType="end"/>
      </w:r>
      <w:r>
        <w:fldChar w:fldCharType="end"/>
      </w:r>
    </w:p>
    <w:p>
      <w:pPr>
        <w:pStyle w:val="5"/>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"_Toc28866018"</w:instrText>
      </w:r>
      <w:r>
        <w:fldChar w:fldCharType="separate"/>
      </w:r>
      <w:r>
        <w:t>（三）一般公共预算当年财政拨款具体使用情况</w:t>
      </w:r>
      <w:r>
        <w:tab/>
      </w:r>
      <w:r>
        <w:fldChar w:fldCharType="begin"/>
      </w:r>
      <w:r>
        <w:instrText xml:space="preserve">PageRef _Toc28866018 \h</w:instrText>
      </w:r>
      <w:r>
        <w:fldChar w:fldCharType="separate"/>
      </w:r>
      <w:r>
        <w:t>6</w:t>
      </w:r>
      <w:r>
        <w:fldChar w:fldCharType="end"/>
      </w:r>
      <w:r>
        <w:fldChar w:fldCharType="end"/>
      </w:r>
    </w:p>
    <w:p>
      <w:pPr>
        <w:pStyle w:val="7"/>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"_Toc28866019"</w:instrText>
      </w:r>
      <w:r>
        <w:fldChar w:fldCharType="separate"/>
      </w:r>
      <w:r>
        <w:t>五、一般公共预算基本支出情况说明</w:t>
      </w:r>
      <w:r>
        <w:tab/>
      </w:r>
      <w:r>
        <w:fldChar w:fldCharType="begin"/>
      </w:r>
      <w:r>
        <w:instrText xml:space="preserve">PageRef _Toc28866019 \h</w:instrText>
      </w:r>
      <w:r>
        <w:fldChar w:fldCharType="separate"/>
      </w:r>
      <w:r>
        <w:t>7</w:t>
      </w:r>
      <w:r>
        <w:fldChar w:fldCharType="end"/>
      </w:r>
      <w:r>
        <w:fldChar w:fldCharType="end"/>
      </w:r>
    </w:p>
    <w:p>
      <w:pPr>
        <w:pStyle w:val="7"/>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"_Toc28866020"</w:instrText>
      </w:r>
      <w:r>
        <w:fldChar w:fldCharType="separate"/>
      </w:r>
      <w:r>
        <w:t>六、“三公”经费财政拨款预算安排情况说明</w:t>
      </w:r>
      <w:r>
        <w:tab/>
      </w:r>
      <w:r>
        <w:fldChar w:fldCharType="begin"/>
      </w:r>
      <w:r>
        <w:instrText xml:space="preserve">PageRef _Toc28866020 \h</w:instrText>
      </w:r>
      <w:r>
        <w:fldChar w:fldCharType="separate"/>
      </w:r>
      <w:r>
        <w:t>8</w:t>
      </w:r>
      <w:r>
        <w:fldChar w:fldCharType="end"/>
      </w:r>
      <w:r>
        <w:fldChar w:fldCharType="end"/>
      </w:r>
    </w:p>
    <w:p>
      <w:pPr>
        <w:pStyle w:val="5"/>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"_Toc28866021"</w:instrText>
      </w:r>
      <w:r>
        <w:fldChar w:fldCharType="separate"/>
      </w:r>
      <w:r>
        <w:rPr>
          <w:rFonts w:hint="eastAsia" w:ascii="Calibri" w:hAnsi="Calibri" w:eastAsia="楷体_GB2312" w:cs="Arial"/>
          <w:kern w:val="2"/>
          <w:szCs w:val="22"/>
          <w:lang w:val="en-US" w:eastAsia="zh-CN" w:bidi="ar-SA"/>
        </w:rPr>
        <w:t>（一）公务接待费。</w:t>
      </w:r>
      <w:r>
        <w:tab/>
      </w:r>
      <w:r>
        <w:fldChar w:fldCharType="begin"/>
      </w:r>
      <w:r>
        <w:instrText xml:space="preserve">PageRef _Toc28866021 \h</w:instrText>
      </w:r>
      <w:r>
        <w:fldChar w:fldCharType="separate"/>
      </w:r>
      <w:r>
        <w:t>8</w:t>
      </w:r>
      <w:r>
        <w:fldChar w:fldCharType="end"/>
      </w:r>
      <w:r>
        <w:fldChar w:fldCharType="end"/>
      </w:r>
    </w:p>
    <w:p>
      <w:pPr>
        <w:pStyle w:val="5"/>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"_Toc28866022"</w:instrText>
      </w:r>
      <w:r>
        <w:fldChar w:fldCharType="separate"/>
      </w:r>
      <w:r>
        <w:rPr>
          <w:rFonts w:hint="eastAsia" w:ascii="Calibri" w:hAnsi="Calibri" w:eastAsia="楷体_GB2312" w:cs="Arial"/>
          <w:kern w:val="2"/>
          <w:szCs w:val="22"/>
          <w:lang w:val="en-US" w:eastAsia="zh-CN" w:bidi="ar-SA"/>
        </w:rPr>
        <w:t>（二）公务用车购置及运行维护费。</w:t>
      </w:r>
      <w:r>
        <w:tab/>
      </w:r>
      <w:r>
        <w:fldChar w:fldCharType="begin"/>
      </w:r>
      <w:r>
        <w:instrText xml:space="preserve">PageRef _Toc28866022 \h</w:instrText>
      </w:r>
      <w:r>
        <w:fldChar w:fldCharType="separate"/>
      </w:r>
      <w:r>
        <w:t>8</w:t>
      </w:r>
      <w:r>
        <w:fldChar w:fldCharType="end"/>
      </w:r>
      <w:r>
        <w:fldChar w:fldCharType="end"/>
      </w:r>
    </w:p>
    <w:p>
      <w:pPr>
        <w:pStyle w:val="5"/>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"_Toc28866023"</w:instrText>
      </w:r>
      <w:r>
        <w:fldChar w:fldCharType="separate"/>
      </w:r>
      <w:r>
        <w:rPr>
          <w:rFonts w:hint="eastAsia" w:ascii="Calibri" w:hAnsi="Calibri" w:eastAsia="楷体_GB2312" w:cs="Arial"/>
          <w:kern w:val="2"/>
          <w:szCs w:val="22"/>
          <w:lang w:val="en-US" w:eastAsia="zh-CN" w:bidi="ar-SA"/>
        </w:rPr>
        <w:t>（三）2021年财政拨款安排公务用车购置费。</w:t>
      </w:r>
      <w:r>
        <w:tab/>
      </w:r>
      <w:r>
        <w:fldChar w:fldCharType="begin"/>
      </w:r>
      <w:r>
        <w:instrText xml:space="preserve">PageRef _Toc28866023 \h</w:instrText>
      </w:r>
      <w:r>
        <w:fldChar w:fldCharType="separate"/>
      </w:r>
      <w:r>
        <w:t>8</w:t>
      </w:r>
      <w:r>
        <w:fldChar w:fldCharType="end"/>
      </w:r>
      <w:r>
        <w:fldChar w:fldCharType="end"/>
      </w:r>
    </w:p>
    <w:p>
      <w:pPr>
        <w:pStyle w:val="7"/>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"_Toc28866024"</w:instrText>
      </w:r>
      <w:r>
        <w:fldChar w:fldCharType="separate"/>
      </w:r>
      <w:r>
        <w:t>七、政府性基金预算支出情况说明</w:t>
      </w:r>
      <w:r>
        <w:tab/>
      </w:r>
      <w:r>
        <w:fldChar w:fldCharType="begin"/>
      </w:r>
      <w:r>
        <w:instrText xml:space="preserve">PageRef _Toc28866024 \h</w:instrText>
      </w:r>
      <w:r>
        <w:fldChar w:fldCharType="separate"/>
      </w:r>
      <w:r>
        <w:t>8</w:t>
      </w:r>
      <w:r>
        <w:fldChar w:fldCharType="end"/>
      </w:r>
      <w:r>
        <w:fldChar w:fldCharType="end"/>
      </w:r>
    </w:p>
    <w:p>
      <w:pPr>
        <w:pStyle w:val="7"/>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"_Toc28866025"</w:instrText>
      </w:r>
      <w:r>
        <w:fldChar w:fldCharType="separate"/>
      </w:r>
      <w:r>
        <w:t>八、国有资本经营预算支出情况说明</w:t>
      </w:r>
      <w:r>
        <w:tab/>
      </w:r>
      <w:r>
        <w:fldChar w:fldCharType="begin"/>
      </w:r>
      <w:r>
        <w:instrText xml:space="preserve">PageRef _Toc28866025 \h</w:instrText>
      </w:r>
      <w:r>
        <w:fldChar w:fldCharType="separate"/>
      </w:r>
      <w:r>
        <w:t>8</w:t>
      </w:r>
      <w:r>
        <w:fldChar w:fldCharType="end"/>
      </w:r>
      <w:r>
        <w:fldChar w:fldCharType="end"/>
      </w:r>
    </w:p>
    <w:p>
      <w:pPr>
        <w:pStyle w:val="7"/>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"_Toc28866026"</w:instrText>
      </w:r>
      <w:r>
        <w:fldChar w:fldCharType="separate"/>
      </w:r>
      <w:r>
        <w:t>九、其他重要事项的情况说明</w:t>
      </w:r>
      <w:r>
        <w:tab/>
      </w:r>
      <w:r>
        <w:fldChar w:fldCharType="begin"/>
      </w:r>
      <w:r>
        <w:instrText xml:space="preserve">PageRef _Toc28866026 \h</w:instrText>
      </w:r>
      <w:r>
        <w:fldChar w:fldCharType="separate"/>
      </w:r>
      <w:r>
        <w:t>8</w:t>
      </w:r>
      <w:r>
        <w:fldChar w:fldCharType="end"/>
      </w:r>
      <w:r>
        <w:fldChar w:fldCharType="end"/>
      </w:r>
    </w:p>
    <w:p>
      <w:pPr>
        <w:pStyle w:val="5"/>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"_Toc28866027"</w:instrText>
      </w:r>
      <w:r>
        <w:fldChar w:fldCharType="separate"/>
      </w:r>
      <w:r>
        <w:t>（一）机关运行经费</w:t>
      </w:r>
      <w:r>
        <w:tab/>
      </w:r>
      <w:r>
        <w:fldChar w:fldCharType="begin"/>
      </w:r>
      <w:r>
        <w:instrText xml:space="preserve">PageRef _Toc28866027 \h</w:instrText>
      </w:r>
      <w:r>
        <w:fldChar w:fldCharType="separate"/>
      </w:r>
      <w:r>
        <w:t>8</w:t>
      </w:r>
      <w:r>
        <w:fldChar w:fldCharType="end"/>
      </w:r>
      <w:r>
        <w:fldChar w:fldCharType="end"/>
      </w:r>
    </w:p>
    <w:p>
      <w:pPr>
        <w:pStyle w:val="5"/>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"_Toc28866028"</w:instrText>
      </w:r>
      <w:r>
        <w:fldChar w:fldCharType="separate"/>
      </w:r>
      <w:r>
        <w:t>（二）国有资产占有使用情况</w:t>
      </w:r>
      <w:r>
        <w:tab/>
      </w:r>
      <w:r>
        <w:fldChar w:fldCharType="begin"/>
      </w:r>
      <w:r>
        <w:instrText xml:space="preserve">PageRef _Toc28866028 \h</w:instrText>
      </w:r>
      <w:r>
        <w:fldChar w:fldCharType="separate"/>
      </w:r>
      <w:r>
        <w:t>8</w:t>
      </w:r>
      <w:r>
        <w:fldChar w:fldCharType="end"/>
      </w:r>
      <w:r>
        <w:fldChar w:fldCharType="end"/>
      </w:r>
    </w:p>
    <w:p>
      <w:pPr>
        <w:pStyle w:val="5"/>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"_Toc28866029"</w:instrText>
      </w:r>
      <w:r>
        <w:fldChar w:fldCharType="separate"/>
      </w:r>
      <w:r>
        <w:t>（三）政府采购情况</w:t>
      </w:r>
      <w:r>
        <w:tab/>
      </w:r>
      <w:r>
        <w:fldChar w:fldCharType="begin"/>
      </w:r>
      <w:r>
        <w:instrText xml:space="preserve">PageRef _Toc28866029 \h</w:instrText>
      </w:r>
      <w:r>
        <w:fldChar w:fldCharType="separate"/>
      </w:r>
      <w:r>
        <w:t>9</w:t>
      </w:r>
      <w:r>
        <w:fldChar w:fldCharType="end"/>
      </w:r>
      <w:r>
        <w:fldChar w:fldCharType="end"/>
      </w:r>
    </w:p>
    <w:p>
      <w:pPr>
        <w:pStyle w:val="5"/>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"_Toc28866030"</w:instrText>
      </w:r>
      <w:r>
        <w:fldChar w:fldCharType="separate"/>
      </w:r>
      <w:r>
        <w:t>（四）绩效目标设置情况</w:t>
      </w:r>
      <w:r>
        <w:tab/>
      </w:r>
      <w:r>
        <w:fldChar w:fldCharType="begin"/>
      </w:r>
      <w:r>
        <w:instrText xml:space="preserve">PageRef _Toc28866030 \h</w:instrText>
      </w:r>
      <w:r>
        <w:fldChar w:fldCharType="separate"/>
      </w:r>
      <w:r>
        <w:t>9</w:t>
      </w:r>
      <w:r>
        <w:fldChar w:fldCharType="end"/>
      </w:r>
      <w:r>
        <w:fldChar w:fldCharType="end"/>
      </w:r>
    </w:p>
    <w:p>
      <w:pPr>
        <w:pStyle w:val="7"/>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"_Toc28866031"</w:instrText>
      </w:r>
      <w:r>
        <w:fldChar w:fldCharType="separate"/>
      </w:r>
      <w:r>
        <w:t>十、名词解释</w:t>
      </w:r>
      <w:r>
        <w:tab/>
      </w:r>
      <w:r>
        <w:fldChar w:fldCharType="begin"/>
      </w:r>
      <w:r>
        <w:instrText xml:space="preserve">PageRef _Toc28866031 \h</w:instrText>
      </w:r>
      <w:r>
        <w:fldChar w:fldCharType="separate"/>
      </w:r>
      <w:r>
        <w:t>9</w:t>
      </w:r>
      <w:r>
        <w:fldChar w:fldCharType="end"/>
      </w:r>
      <w:r>
        <w:fldChar w:fldCharType="end"/>
      </w:r>
    </w:p>
    <w:p>
      <w:pPr>
        <w:pStyle w:val="5"/>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"_Toc28866032"</w:instrText>
      </w:r>
      <w:r>
        <w:fldChar w:fldCharType="separate"/>
      </w:r>
      <w:r>
        <w:t>（一）收入类名词解释</w:t>
      </w:r>
      <w:r>
        <w:tab/>
      </w:r>
      <w:r>
        <w:fldChar w:fldCharType="begin"/>
      </w:r>
      <w:r>
        <w:instrText xml:space="preserve">PageRef _Toc28866032 \h</w:instrText>
      </w:r>
      <w:r>
        <w:fldChar w:fldCharType="separate"/>
      </w:r>
      <w:r>
        <w:t>9</w:t>
      </w:r>
      <w:r>
        <w:fldChar w:fldCharType="end"/>
      </w:r>
      <w:r>
        <w:fldChar w:fldCharType="end"/>
      </w:r>
    </w:p>
    <w:p>
      <w:pPr>
        <w:pStyle w:val="5"/>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"_Toc28866033"</w:instrText>
      </w:r>
      <w:r>
        <w:fldChar w:fldCharType="separate"/>
      </w:r>
      <w:r>
        <w:t>（二）功能科目名词解释</w:t>
      </w:r>
      <w:r>
        <w:tab/>
      </w:r>
      <w:r>
        <w:fldChar w:fldCharType="begin"/>
      </w:r>
      <w:r>
        <w:instrText xml:space="preserve">PageRef _Toc28866033 \h</w:instrText>
      </w:r>
      <w:r>
        <w:fldChar w:fldCharType="separate"/>
      </w:r>
      <w:r>
        <w:t>9</w:t>
      </w:r>
      <w:r>
        <w:fldChar w:fldCharType="end"/>
      </w:r>
      <w:r>
        <w:fldChar w:fldCharType="end"/>
      </w:r>
    </w:p>
    <w:p>
      <w:pPr>
        <w:pStyle w:val="5"/>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"_Toc28866034"</w:instrText>
      </w:r>
      <w:r>
        <w:fldChar w:fldCharType="separate"/>
      </w:r>
      <w:r>
        <w:t>（三）支出类名词解释</w:t>
      </w:r>
      <w:r>
        <w:tab/>
      </w:r>
      <w:r>
        <w:fldChar w:fldCharType="begin"/>
      </w:r>
      <w:r>
        <w:instrText xml:space="preserve">PageRef _Toc28866034 \h</w:instrText>
      </w:r>
      <w:r>
        <w:fldChar w:fldCharType="separate"/>
      </w:r>
      <w:r>
        <w:t>10</w:t>
      </w:r>
      <w:r>
        <w:fldChar w:fldCharType="end"/>
      </w:r>
      <w:r>
        <w:fldChar w:fldCharType="end"/>
      </w:r>
    </w:p>
    <w:p>
      <w:pPr>
        <w:pStyle w:val="5"/>
        <w:keepNext/>
        <w:keepLines/>
        <w:pageBreakBefore w:val="0"/>
        <w:widowControl w:val="0"/>
        <w:suppressLineNumbers w:val="0"/>
        <w:pBdr>
          <w:top w:val="none" w:color="auto" w:sz="0" w:space="0"/>
          <w:left w:val="none" w:color="auto" w:sz="0" w:space="0"/>
          <w:bottom w:val="none" w:color="auto" w:sz="0" w:space="0"/>
          <w:right w:val="none" w:color="auto" w:sz="0" w:space="0"/>
        </w:pBdr>
        <w:tabs>
          <w:tab w:val="right" w:leader="dot" w:pos="8845"/>
        </w:tabs>
        <w:suppressAutoHyphens w:val="0"/>
      </w:pPr>
      <w:r>
        <w:fldChar w:fldCharType="begin"/>
      </w:r>
      <w:r>
        <w:instrText xml:space="preserve">Hyperlink \l "_Toc28866035"</w:instrText>
      </w:r>
      <w:r>
        <w:fldChar w:fldCharType="separate"/>
      </w:r>
      <w:r>
        <w:t>（四）特殊名词解释</w:t>
      </w:r>
      <w:r>
        <w:tab/>
      </w:r>
      <w:r>
        <w:fldChar w:fldCharType="begin"/>
      </w:r>
      <w:r>
        <w:instrText xml:space="preserve">PageRef _Toc28866035 \h</w:instrText>
      </w:r>
      <w:r>
        <w:fldChar w:fldCharType="separate"/>
      </w:r>
      <w:r>
        <w:t>10</w:t>
      </w:r>
      <w:r>
        <w:fldChar w:fldCharType="end"/>
      </w:r>
      <w:r>
        <w:fldChar w:fldCharType="end"/>
      </w:r>
      <w:r>
        <w:fldChar w:fldCharType="end"/>
      </w:r>
    </w:p>
    <w:p>
      <w:pPr>
        <w:pStyle w:val="2"/>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pPr>
    </w:p>
    <w:p>
      <w:pPr>
        <w:pStyle w:val="2"/>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pPr>
    </w:p>
    <w:p>
      <w:pPr>
        <w:pStyle w:val="2"/>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pPr>
    </w:p>
    <w:p>
      <w:pPr>
        <w:pStyle w:val="2"/>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pPr>
    </w:p>
    <w:p>
      <w:pPr>
        <w:pStyle w:val="2"/>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pPr>
    </w:p>
    <w:p>
      <w:pPr>
        <w:pStyle w:val="2"/>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pPr>
    </w:p>
    <w:p>
      <w:pPr>
        <w:pStyle w:val="2"/>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pPr>
    </w:p>
    <w:p>
      <w:pPr>
        <w:pStyle w:val="2"/>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pPr>
    </w:p>
    <w:p>
      <w:pPr>
        <w:pStyle w:val="2"/>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pPr>
    </w:p>
    <w:p>
      <w:pPr>
        <w:pStyle w:val="2"/>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pPr>
    </w:p>
    <w:p>
      <w:pPr>
        <w:pStyle w:val="2"/>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pPr>
    </w:p>
    <w:p>
      <w:pPr>
        <w:pStyle w:val="2"/>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pPr>
    </w:p>
    <w:p>
      <w:pPr>
        <w:pStyle w:val="2"/>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pPr>
    </w:p>
    <w:p>
      <w:pPr>
        <w:pStyle w:val="2"/>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pPr>
    </w:p>
    <w:p>
      <w:pPr>
        <w:pStyle w:val="2"/>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left="0" w:firstLine="0" w:firstLineChars="0"/>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left="0" w:firstLine="0" w:firstLineChars="0"/>
        <w:jc w:val="center"/>
        <w:rPr>
          <w:rFonts w:hint="eastAsia" w:ascii="方正小标宋简体" w:eastAsia="方正小标宋简体"/>
          <w:b/>
          <w:bCs/>
          <w:sz w:val="44"/>
          <w:szCs w:val="44"/>
        </w:rPr>
      </w:pPr>
      <w:r>
        <w:rPr>
          <w:rFonts w:hint="eastAsia" w:ascii="方正小标宋简体" w:eastAsia="方正小标宋简体"/>
          <w:b/>
          <w:bCs/>
          <w:sz w:val="44"/>
          <w:szCs w:val="44"/>
        </w:rPr>
        <w:t>广元市劳动人事争议仲裁院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left="0" w:firstLine="0" w:firstLineChars="0"/>
        <w:jc w:val="center"/>
        <w:rPr>
          <w:rFonts w:hint="eastAsia" w:ascii="方正小标宋简体" w:eastAsia="方正小标宋简体"/>
          <w:b/>
          <w:bCs/>
          <w:sz w:val="44"/>
          <w:szCs w:val="44"/>
        </w:rPr>
      </w:pPr>
      <w:r>
        <w:rPr>
          <w:rFonts w:hint="eastAsia" w:ascii="方正小标宋简体" w:eastAsia="方正小标宋简体"/>
          <w:b/>
          <w:bCs/>
          <w:sz w:val="44"/>
          <w:szCs w:val="44"/>
        </w:rPr>
        <w:t>2021年部门预算编制说明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left="0" w:right="0" w:firstLine="883" w:firstLineChars="200"/>
        <w:jc w:val="center"/>
        <w:textAlignment w:val="auto"/>
        <w:rPr>
          <w:rFonts w:ascii="方正小标宋简体" w:eastAsia="方正小标宋简体" w:cs="方正小标宋简体"/>
          <w:b/>
          <w:i w:val="0"/>
          <w:caps w:val="0"/>
          <w:smallCaps w:val="0"/>
          <w:color w:val="000000"/>
          <w:spacing w:val="0"/>
          <w:kern w:val="0"/>
          <w:sz w:val="44"/>
          <w:szCs w:val="44"/>
          <w:shd w:val="clear" w:color="auto" w:fill="FFFFFF"/>
          <w:lang w:val="en-US" w:eastAsia="zh-CN"/>
        </w:rPr>
      </w:pP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3" w:firstLineChars="200"/>
      </w:pPr>
      <w:bookmarkStart w:id="0" w:name="_Toc28866010"/>
      <w:r>
        <w:t>一、基本职能及主要工作</w:t>
      </w:r>
      <w:bookmarkEnd w:id="0"/>
    </w:p>
    <w:p>
      <w:pPr>
        <w:pStyle w:val="4"/>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spacing w:line="560" w:lineRule="exact"/>
        <w:ind w:firstLine="643" w:firstLineChars="200"/>
      </w:pPr>
      <w:bookmarkStart w:id="1" w:name="_Toc28866011"/>
      <w:r>
        <w:t>（一）广元市劳动人事争议仲裁院职能简介</w:t>
      </w:r>
      <w:bookmarkEnd w:id="1"/>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jc w:val="both"/>
      </w:pPr>
      <w:r>
        <w:t>1.研究提出贯彻、落实劳动人事争议调解仲裁法律、法规、政策的实施意见；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jc w:val="both"/>
      </w:pPr>
      <w:r>
        <w:t>2.拟定劳动人事争议案件处理工作的各项制度规则；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jc w:val="both"/>
      </w:pPr>
      <w:r>
        <w:t>3.提供</w:t>
      </w:r>
      <w:r>
        <w:rPr>
          <w:rFonts w:hint="eastAsia"/>
          <w:lang w:eastAsia="zh-CN"/>
        </w:rPr>
        <w:t>人力资源和社会保障</w:t>
      </w:r>
      <w:r>
        <w:t>法律法规以及劳动人事争议调解仲裁政策咨询；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jc w:val="both"/>
      </w:pPr>
      <w:r>
        <w:t>4.负责市级单位劳动人事争议的调解；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jc w:val="both"/>
      </w:pPr>
      <w:r>
        <w:t>5.办理市级单位劳动人事争议案件的审理、仲裁；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jc w:val="both"/>
      </w:pPr>
      <w:r>
        <w:t>6.办理上级交办、外地委托的案件；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jc w:val="both"/>
      </w:pPr>
      <w:r>
        <w:t>7.根据广元市劳动人事争议仲裁委员会的授权，负责专兼职仲裁员、调解员的业务培训及考核聘任管理工作；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jc w:val="both"/>
      </w:pPr>
      <w:r>
        <w:t>8.指导县区劳动人事争议仲裁院和基层劳动人事争议调解委员会的工作；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jc w:val="both"/>
      </w:pPr>
      <w:r>
        <w:t>9.承担市劳动人事争议仲裁委员会的日常工作；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jc w:val="both"/>
      </w:pPr>
      <w:r>
        <w:t>10.办理其他交办工作。</w:t>
      </w:r>
    </w:p>
    <w:p>
      <w:pPr>
        <w:pStyle w:val="4"/>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3" w:firstLineChars="200"/>
        <w:jc w:val="both"/>
      </w:pPr>
      <w:bookmarkStart w:id="2" w:name="_Toc28866012"/>
      <w:r>
        <w:t>（二）广元市劳动人事争议仲裁院2021年重点工作</w:t>
      </w:r>
      <w:bookmarkEnd w:id="2"/>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1.市仲裁委员会聘请兼职仲裁员3人，进一步充实扩大了仲裁员队伍，有效激发了队伍活力，积极构造“社会+仲裁”的维权模式。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2.常态化开展以“开标准庭、写标准文书、办标准案”为主要内容的“三标”活动，进一步提高仲裁员的政策理论水平及办案业务技能，着力打造一支“业务精、作风硬、服务实、效率高”的调解仲裁专业化队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3.根据《四川省劳动人事争议仲裁委员会关于印发&lt;案件质量评查规则（试行）&gt;的通知》有关要求，对县区2020年度仲裁办案质量情况进行检查评估，现场查找反馈问题和薄弱环节，有针对性地开展业务指导，进一步规范办案流程和提升办案质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4.根据《中华人民共和国劳动争议调解仲裁法》《劳动人事争议仲裁办案规则》以及省人力资源社会保障厅、省劳动人事争议仲裁委员会有关调解仲裁文书格式、样式要求，组织专人对11类调解仲裁文书、69种仲裁文书样式进行了修订完善，并印发县区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5.联合市总工会组织基层调解组织调研并召开全市劳动人事争议调解组织建设推进会，组织开展基层调解组织和优秀调解员评选活动，对10个先进基层调解组织和12名优秀调解员进行了表扬，进一步激发基层预防调解工作活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6.指导利州区、朝天区、经开区部分基层调解组织建设品牌打造，并圆满完成省人社厅赴广调研工作任务，调解仲裁工作成果得到省厅领导的充分肯定。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7.巩固“阶梯式调解广元工作模式”推广运用，动员全市各极仲裁机构积极参与全省“金牌劳动人事争议调解组织”创建活动，四川君安天源精酿啤酒有限公司劳动争议调解委员会被省人社厅等四部门评选为首批“金牌劳动人事争议调解组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8.召开2021年度全市调解仲裁暨案例研讨会，贯彻全省劳动人事争议仲裁工作会议精神，交流仲裁办案过程中遇到的相关疑难问题和有效做法，提升办案人员综合素质，安排部署年度重点工作。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9.召开全市法律适用研讨会，探讨新时代劳动人事争议处理工作面临的新情况新问题新对策，着力解决“立案不规范、程序不衔接、标准不统一”等问题。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10.全面推进调解仲裁信息化建设，充分运用“互联网+调解仲裁”“线上+线下”等创新办案方式，实行仲裁网上申请、网上受理、网上调解、网选仲裁员、远程开庭、查询办理进度和裁决结果等服务，助推仲裁服务提质增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11.抓好“建筑行业调解委员会、调解组织向有条件的村（社）延伸、三方驻会办案”试点成果推广运用。</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3" w:firstLineChars="200"/>
      </w:pPr>
      <w:bookmarkStart w:id="3" w:name="_Toc28866013"/>
      <w:r>
        <w:t>二、部门预算单位构成</w:t>
      </w:r>
      <w:bookmarkEnd w:id="3"/>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广元市劳动人事争议仲裁院是广元市人力资源和社会保障局下属二级预算单位，内部设办公室、立案调解庭、审理一庭、审理二庭、审理三庭，市劳动人事争议仲裁院核定编制总数为13名。</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3" w:firstLineChars="200"/>
      </w:pPr>
      <w:bookmarkStart w:id="4" w:name="_Toc28866014"/>
      <w:r>
        <w:t>三、2021年财政拨款部门预算情况的总体说明</w:t>
      </w:r>
      <w:bookmarkEnd w:id="4"/>
    </w:p>
    <w:p>
      <w:pPr>
        <w:keepNext w:val="0"/>
        <w:keepLines w:val="0"/>
        <w:pageBreakBefore w:val="0"/>
        <w:widowControl w:val="0"/>
        <w:suppressLineNumbers w:val="0"/>
        <w:suppressAutoHyphens w:val="0"/>
        <w:bidi w:val="0"/>
        <w:ind w:firstLine="640" w:firstLineChars="200"/>
      </w:pPr>
      <w:r>
        <w:t>2021年部门预算收入总数196.27万元，较2020年部门预算收入总数203.01万元下降3.4%；2021年部门预算支出总数196.27万元，较2020年部门预算支出总数203.01万元下降3.4%。</w:t>
      </w:r>
    </w:p>
    <w:p>
      <w:pPr>
        <w:keepNext w:val="0"/>
        <w:keepLines w:val="0"/>
        <w:pageBreakBefore w:val="0"/>
        <w:widowControl w:val="0"/>
        <w:suppressLineNumbers w:val="0"/>
        <w:suppressAutoHyphens w:val="0"/>
        <w:bidi w:val="0"/>
        <w:ind w:firstLine="640" w:firstLineChars="200"/>
      </w:pPr>
      <w:r>
        <w:t xml:space="preserve">部门基本支出预算142.31万元，其中：人员支出120.19万元，公用支出22.12万元。 </w:t>
      </w:r>
    </w:p>
    <w:p>
      <w:pPr>
        <w:keepNext w:val="0"/>
        <w:keepLines w:val="0"/>
        <w:pageBreakBefore w:val="0"/>
        <w:widowControl w:val="0"/>
        <w:suppressLineNumbers w:val="0"/>
        <w:suppressAutoHyphens w:val="0"/>
        <w:bidi w:val="0"/>
        <w:ind w:firstLine="640" w:firstLineChars="200"/>
      </w:pPr>
      <w:r>
        <w:t xml:space="preserve">部门专项项目预算53.96万元(明细项目见附表)。 </w:t>
      </w:r>
    </w:p>
    <w:p>
      <w:pPr>
        <w:keepNext w:val="0"/>
        <w:keepLines w:val="0"/>
        <w:pageBreakBefore w:val="0"/>
        <w:widowControl w:val="0"/>
        <w:suppressLineNumbers w:val="0"/>
        <w:suppressAutoHyphens w:val="0"/>
        <w:bidi w:val="0"/>
        <w:ind w:firstLine="640" w:firstLineChars="200"/>
      </w:pPr>
      <w:r>
        <w:t>部门当年无政府采购预算。</w:t>
      </w:r>
    </w:p>
    <w:p>
      <w:pPr>
        <w:keepNext w:val="0"/>
        <w:keepLines w:val="0"/>
        <w:pageBreakBefore w:val="0"/>
        <w:widowControl w:val="0"/>
        <w:suppressLineNumbers w:val="0"/>
        <w:suppressAutoHyphens w:val="0"/>
        <w:bidi w:val="0"/>
        <w:ind w:firstLine="640" w:firstLineChars="200"/>
      </w:pPr>
      <w:r>
        <w:t xml:space="preserve">2021年财政拨款收支总预算196.27万元。收入包括：一般公共预算当年拨款收入194.64万元、上年结余结转1.63万元；支出包括：社会保障和就业支出178.67万元、卫生健康支出5.66万元、住房保障支出11.95万元。 </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3" w:firstLineChars="200"/>
      </w:pPr>
      <w:bookmarkStart w:id="5" w:name="_Toc28866015"/>
      <w:r>
        <w:t xml:space="preserve">四、一般公共预算当年财政拨款情况说明 </w:t>
      </w:r>
      <w:bookmarkEnd w:id="5"/>
    </w:p>
    <w:p>
      <w:pPr>
        <w:pStyle w:val="4"/>
        <w:keepNext/>
        <w:keepLines/>
        <w:pageBreakBefore w:val="0"/>
        <w:widowControl w:val="0"/>
        <w:suppressLineNumbers w:val="0"/>
        <w:suppressAutoHyphens w:val="0"/>
        <w:bidi w:val="0"/>
        <w:ind w:firstLine="643" w:firstLineChars="200"/>
      </w:pPr>
      <w:bookmarkStart w:id="6" w:name="_Toc28866016"/>
      <w:r>
        <w:t xml:space="preserve">（一）一般公共预算当年财政拨款规模变化情况 </w:t>
      </w:r>
      <w:bookmarkEnd w:id="6"/>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2021年一般公共预算当年财政拨款194.64万元，比2020年财政预算数203.01万元减少8.37万元，下降4.3%，变动的主要原因是在职人员减少。</w:t>
      </w:r>
    </w:p>
    <w:p>
      <w:pPr>
        <w:pStyle w:val="4"/>
        <w:keepNext/>
        <w:keepLines/>
        <w:pageBreakBefore w:val="0"/>
        <w:widowControl w:val="0"/>
        <w:suppressLineNumbers w:val="0"/>
        <w:suppressAutoHyphens w:val="0"/>
        <w:bidi w:val="0"/>
        <w:ind w:firstLine="643" w:firstLineChars="200"/>
      </w:pPr>
      <w:bookmarkStart w:id="7" w:name="_Toc28866017"/>
      <w:r>
        <w:t xml:space="preserve">（二）一般公共预算当年财政拨款结构情况 </w:t>
      </w:r>
      <w:bookmarkEnd w:id="7"/>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 xml:space="preserve">社会保障和就业支出177.03万元，占90.96%；卫生健康支出5.66万元，占2.9 %；住房保障支出11.95万元，占6.14%。 </w:t>
      </w:r>
    </w:p>
    <w:p>
      <w:pPr>
        <w:pStyle w:val="4"/>
        <w:keepNext/>
        <w:keepLines/>
        <w:pageBreakBefore w:val="0"/>
        <w:widowControl w:val="0"/>
        <w:suppressLineNumbers w:val="0"/>
        <w:suppressAutoHyphens w:val="0"/>
        <w:bidi w:val="0"/>
        <w:ind w:firstLine="643" w:firstLineChars="200"/>
      </w:pPr>
      <w:bookmarkStart w:id="8" w:name="_Toc28866018"/>
      <w:r>
        <w:t xml:space="preserve">（三）一般公共预算当年财政拨款具体使用情况 </w:t>
      </w:r>
      <w:bookmarkEnd w:id="8"/>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1、社会保障和就业支出（类）人力资源和社会保障管理事务（款）劳动人事争议调解仲裁（项）预算数为165.68万元,比2020年预算数减少7.75 万元，变动的主要原因是在职人员减少。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2、社会保障和就业支出（类）人力资源和社会保障管理事务（款）行政单位离退休（项）预算数为 0.03万元,比2020年预算数增加0.03 万元，变动的主要原因是退休人员增加。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3、社会保障和就业支出（类）人力资源和社会保障管理事务（款）机关事业单位基本养老保险缴费支出（项）预算数为 11.32万元,比2020年预算数减少0.68 万元，变动的主要原因是在职人员减少。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 xml:space="preserve">4、卫生健康支出（类）行政事业单位医疗（款）行政单位医疗（项）预算数为5.66万元,比2021年预算数增加0.03 万元，变动的主要原因是职工工资调整、缴费基数增加。主要用于行政单位社会保障缴费。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 xml:space="preserve">5、住房保障支出（类）住房改革支出（款）住房公积金（项）预算数为11.95万元,与2020年预算数相比无变化。主要用主要用于行政事业单位住房公积金。 </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3" w:firstLineChars="200"/>
      </w:pPr>
      <w:bookmarkStart w:id="9" w:name="_Toc28866019"/>
      <w:r>
        <w:t>五、一般公共预算基本支出情况说明</w:t>
      </w:r>
      <w:bookmarkEnd w:id="9"/>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广元市劳动人事争议仲裁院2021年一般公共预算基本支出142.31万元，其中：人员经费120.19万元，主要包括：基本工资、津贴补贴、奖金、社会保险缴费、住房公积金等支出。公用经费22.12万元，主要包括：办公费、印刷费、咨询费、邮电费、差旅费、维修（护）费、会议费、培训费、公务接待费、劳务费、工会经费、福利费、其他交通费用等支出。</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3" w:firstLineChars="200"/>
      </w:pPr>
      <w:bookmarkStart w:id="10" w:name="_Toc28866020"/>
      <w:r>
        <w:t>六、“三公”经费财政拨款预算安排情况说明</w:t>
      </w:r>
      <w:bookmarkEnd w:id="10"/>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firstLine="643" w:firstLineChars="200"/>
        <w:textAlignment w:val="auto"/>
      </w:pPr>
      <w:bookmarkStart w:id="11" w:name="_Toc28866021"/>
      <w:r>
        <w:rPr>
          <w:rStyle w:val="11"/>
          <w:rFonts w:hint="eastAsia"/>
          <w:lang w:val="en-US"/>
        </w:rPr>
        <w:t>（一）公务接待费。</w:t>
      </w:r>
      <w:bookmarkEnd w:id="11"/>
      <w:r>
        <w:rPr>
          <w:rFonts w:ascii="宋体" w:eastAsia="宋体" w:cs="宋体"/>
          <w:kern w:val="0"/>
          <w:sz w:val="24"/>
          <w:szCs w:val="24"/>
        </w:rPr>
        <w:t xml:space="preserve"> </w:t>
      </w:r>
      <w:r>
        <w:t>2021 年预算安排0.2万元，较 2020年相比无变动。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firstLine="643" w:firstLineChars="200"/>
        <w:textAlignment w:val="auto"/>
      </w:pPr>
      <w:bookmarkStart w:id="12" w:name="_Toc28866022"/>
      <w:r>
        <w:rPr>
          <w:rStyle w:val="11"/>
          <w:rFonts w:hint="eastAsia"/>
          <w:lang w:val="en-US"/>
        </w:rPr>
        <w:t>（</w:t>
      </w:r>
      <w:r>
        <w:rPr>
          <w:rStyle w:val="11"/>
          <w:rFonts w:hint="eastAsia"/>
          <w:lang w:val="en-US" w:eastAsia="zh-CN"/>
        </w:rPr>
        <w:t>二</w:t>
      </w:r>
      <w:r>
        <w:rPr>
          <w:rStyle w:val="11"/>
          <w:rFonts w:hint="eastAsia"/>
          <w:lang w:val="en-US"/>
        </w:rPr>
        <w:t>）公务用车购置及运行维护费。</w:t>
      </w:r>
      <w:bookmarkEnd w:id="12"/>
      <w:r>
        <w:t>广元市劳动人事争议仲裁院2021年无公务用车购置及运行维护费。广元市劳动人事争议仲裁院2021年财政拨款未安排公务用车购置费。</w:t>
      </w:r>
      <w:bookmarkStart w:id="13" w:name="_Toc28866024"/>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firstLine="643" w:firstLineChars="200"/>
        <w:textAlignment w:val="auto"/>
        <w:rPr>
          <w:rFonts w:ascii="仿宋_GB2312" w:eastAsia="仿宋_GB2312" w:cs="仿宋_GB2312"/>
          <w:kern w:val="0"/>
          <w:sz w:val="32"/>
          <w:szCs w:val="32"/>
          <w:lang w:bidi="ar"/>
        </w:rPr>
      </w:pPr>
      <w:r>
        <w:rPr>
          <w:rFonts w:hint="eastAsia" w:ascii="楷体_GB2312" w:hAnsi="楷体_GB2312" w:eastAsia="楷体_GB2312" w:cs="楷体_GB2312"/>
          <w:b/>
          <w:bCs/>
          <w:kern w:val="0"/>
          <w:sz w:val="32"/>
          <w:szCs w:val="32"/>
          <w:lang w:bidi="ar"/>
        </w:rPr>
        <w:t>（三）因公出国（境）费。</w:t>
      </w:r>
      <w:r>
        <w:rPr>
          <w:rFonts w:ascii="仿宋_GB2312" w:eastAsia="仿宋_GB2312" w:cs="仿宋_GB2312"/>
          <w:kern w:val="0"/>
          <w:sz w:val="32"/>
          <w:szCs w:val="32"/>
          <w:lang w:bidi="ar"/>
        </w:rPr>
        <w:t>2021年部门预算未编列因公出国（境）经费，与2020年预算持平，2021年未安排出国（境）任务和计划</w:t>
      </w:r>
      <w:r>
        <w:rPr>
          <w:rFonts w:hint="eastAsia" w:ascii="仿宋_GB2312" w:eastAsia="仿宋_GB2312" w:cs="仿宋_GB2312"/>
          <w:kern w:val="0"/>
          <w:sz w:val="32"/>
          <w:szCs w:val="32"/>
          <w:lang w:bidi="ar"/>
        </w:rPr>
        <w:t>。</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pPr>
      <w:r>
        <w:t>七、政府性基金预算支出情况说明</w:t>
      </w:r>
      <w:bookmarkEnd w:id="13"/>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广元市劳动人事争议仲裁院2021年没有使用政府性基金预算拨款安排的支出，也未在政府性基金预算拨款安排“三公经费”支出。</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3" w:firstLineChars="200"/>
      </w:pPr>
      <w:bookmarkStart w:id="14" w:name="_Toc28866025"/>
      <w:r>
        <w:t>八、国有资本经营预算支出情况说明</w:t>
      </w:r>
      <w:bookmarkEnd w:id="14"/>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广元市劳动人事争议仲裁院2021年没有使用国有资本经营预算拨款安排的支出。</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3" w:firstLineChars="200"/>
      </w:pPr>
      <w:bookmarkStart w:id="15" w:name="_Toc28866026"/>
      <w:r>
        <w:t>九、其他重要事项的情况说明</w:t>
      </w:r>
      <w:bookmarkEnd w:id="15"/>
    </w:p>
    <w:p>
      <w:pPr>
        <w:pStyle w:val="4"/>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3" w:firstLineChars="200"/>
      </w:pPr>
      <w:bookmarkStart w:id="16" w:name="_Toc28866027"/>
      <w:r>
        <w:t>（一）机关运行经费</w:t>
      </w:r>
      <w:bookmarkEnd w:id="16"/>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2021年，广元市劳动人事争议仲裁院的机关运行经费财政拨款预算为22.12万元，比2020年预算数减少1.52万元，下降6.40%。主要原因是在职人员减少。</w:t>
      </w:r>
    </w:p>
    <w:p>
      <w:pPr>
        <w:pStyle w:val="4"/>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3" w:firstLineChars="200"/>
      </w:pPr>
      <w:bookmarkStart w:id="17" w:name="_Toc28866028"/>
      <w:r>
        <w:t>（二）国有资产占有使用情况</w:t>
      </w:r>
      <w:bookmarkEnd w:id="17"/>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截至2020年底，广元市劳动人事争议仲裁院无国有资产占有使用情况。</w:t>
      </w:r>
    </w:p>
    <w:p>
      <w:pPr>
        <w:pStyle w:val="4"/>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3" w:firstLineChars="200"/>
      </w:pPr>
      <w:bookmarkStart w:id="18" w:name="_Toc28866029"/>
      <w:r>
        <w:t>（三）政府采购情况</w:t>
      </w:r>
      <w:bookmarkEnd w:id="18"/>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2021年，广元市劳动人事争议仲裁院未安排政府采购预算。</w:t>
      </w:r>
    </w:p>
    <w:p>
      <w:pPr>
        <w:pStyle w:val="4"/>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3" w:firstLineChars="200"/>
      </w:pPr>
      <w:bookmarkStart w:id="19" w:name="_Toc28866030"/>
      <w:r>
        <w:t>（四）绩效目标设置情况</w:t>
      </w:r>
      <w:bookmarkEnd w:id="19"/>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 xml:space="preserve">2021广元市劳动人事争议仲裁院实行绩效目标管理的项目6项涉及预算53.96，其中，一般公共预算 52.52，上年结余结转安排1.44万元。 </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3" w:firstLineChars="200"/>
      </w:pPr>
      <w:bookmarkStart w:id="20" w:name="_Toc28866031"/>
      <w:r>
        <w:t>十、名词解释</w:t>
      </w:r>
      <w:bookmarkEnd w:id="20"/>
    </w:p>
    <w:p>
      <w:pPr>
        <w:pStyle w:val="4"/>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3" w:firstLineChars="200"/>
      </w:pPr>
      <w:bookmarkStart w:id="21" w:name="_Toc28866032"/>
      <w:r>
        <w:t xml:space="preserve">（一）收入类名词解释 </w:t>
      </w:r>
      <w:bookmarkEnd w:id="21"/>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一般公共预算拨款收入：指省级财政当年拨付的资金。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上年结转：指以前年度尚未完成，结转到本年仍按原规定用途继续使用的资金。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社会保障和就业支出（类）人力资源和社会保障管理事务（款）劳动人事争议调解仲裁（项）：反映仲裁机构实体化建设、办案经费、调解仲裁能力建设等支出。</w:t>
      </w:r>
    </w:p>
    <w:p>
      <w:pPr>
        <w:pStyle w:val="4"/>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3" w:firstLineChars="200"/>
      </w:pPr>
      <w:bookmarkStart w:id="22" w:name="_Toc28866033"/>
      <w:r>
        <w:t xml:space="preserve">（二）功能科目名词解释 </w:t>
      </w:r>
      <w:bookmarkEnd w:id="22"/>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卫生健康（类）行政事业单位医疗（款）行政单位医疗（项）：指机关及参公管理事业单位用于单位应缴纳基本医疗保险支出。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住房保障（类）住房改革支出（款）住房公积金（项）：指按照《住房公积金管理条例》的规定，由单位及其在职职工缴存的长期住房储金。</w:t>
      </w:r>
    </w:p>
    <w:p>
      <w:pPr>
        <w:pStyle w:val="4"/>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3" w:firstLineChars="200"/>
      </w:pPr>
      <w:bookmarkStart w:id="23" w:name="_Toc28866034"/>
      <w:r>
        <w:t xml:space="preserve">（三）支出类名词解释 </w:t>
      </w:r>
      <w:bookmarkEnd w:id="23"/>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基本支出：指为保证机构正常运转，完成日常工作任务而发生的人员支出和公用支出。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项目支出：指在基本支出之外为完成特定行政任务和事业发展目标所发生的支出。</w:t>
      </w:r>
    </w:p>
    <w:p>
      <w:pPr>
        <w:pStyle w:val="4"/>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3" w:firstLineChars="200"/>
      </w:pPr>
      <w:bookmarkStart w:id="24" w:name="_Toc28866035"/>
      <w:r>
        <w:t xml:space="preserve">（四）特殊名词解释 </w:t>
      </w:r>
      <w:bookmarkEnd w:id="24"/>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bidi w:val="0"/>
        <w:ind w:firstLine="640" w:firstLineChars="200"/>
      </w:pPr>
      <w: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textAlignment w:val="auto"/>
      </w:pPr>
    </w:p>
    <w:sectPr>
      <w:pgSz w:w="11906" w:h="16838"/>
      <w:pgMar w:top="2098" w:right="1474" w:bottom="1984" w:left="1587" w:header="851" w:footer="992" w:gutter="0"/>
      <w:cols w:space="720" w:num="1"/>
      <w:rtlGutter w:val="1"/>
      <w:docGrid w:type="lines" w:linePitch="312"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CESI黑体-GB18030">
    <w:altName w:val="黑体"/>
    <w:panose1 w:val="02000500000000000000"/>
    <w:charset w:val="86"/>
    <w:family w:val="script"/>
    <w:pitch w:val="default"/>
    <w:sig w:usb0="00000000" w:usb1="00000000"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bordersDoNotSurroundHeader w:val="1"/>
  <w:bordersDoNotSurroundFooter w:val="1"/>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doNotUseIndentAsNumberingTabStop/>
    <w:useAltKinsokuLineBreakRules/>
    <w:compatSetting w:name="compatibilityMode" w:uri="http://schemas.microsoft.com/office/word" w:val="15"/>
  </w:compat>
  <w:docVars>
    <w:docVar w:name="commondata" w:val="eyJoZGlkIjoiMWE5YmE0NDkwMWZlNjllZTRmMzI5MWJjMmY2OWZmN2QifQ=="/>
  </w:docVars>
  <w:rsids>
    <w:rsidRoot w:val="00000000"/>
    <w:rsid w:val="26482E62"/>
    <w:rsid w:val="F7AF98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仿宋_GB2312" w:cs="Arial"/>
      <w:kern w:val="2"/>
      <w:sz w:val="32"/>
      <w:szCs w:val="22"/>
      <w:lang w:val="en-US" w:eastAsia="zh-CN" w:bidi="ar-SA"/>
    </w:rPr>
  </w:style>
  <w:style w:type="paragraph" w:styleId="2">
    <w:name w:val="heading 1"/>
    <w:basedOn w:val="1"/>
    <w:next w:val="1"/>
    <w:autoRedefine/>
    <w:qFormat/>
    <w:uiPriority w:val="0"/>
    <w:pPr>
      <w:keepNext/>
      <w:keepLines/>
      <w:spacing w:line="560" w:lineRule="exact"/>
      <w:jc w:val="center"/>
      <w:outlineLvl w:val="0"/>
    </w:pPr>
    <w:rPr>
      <w:rFonts w:eastAsia="方正小标宋简体"/>
      <w:b/>
      <w:bCs/>
      <w:kern w:val="44"/>
      <w:sz w:val="44"/>
    </w:rPr>
  </w:style>
  <w:style w:type="paragraph" w:styleId="3">
    <w:name w:val="heading 2"/>
    <w:basedOn w:val="1"/>
    <w:next w:val="1"/>
    <w:autoRedefine/>
    <w:qFormat/>
    <w:uiPriority w:val="0"/>
    <w:pPr>
      <w:keepNext/>
      <w:keepLines/>
      <w:spacing w:line="560" w:lineRule="exact"/>
      <w:ind w:firstLine="200" w:firstLineChars="200"/>
      <w:outlineLvl w:val="1"/>
    </w:pPr>
    <w:rPr>
      <w:rFonts w:ascii="CESI黑体-GB18030" w:hAnsi="CESI黑体-GB18030" w:eastAsia="黑体"/>
      <w:b/>
      <w:sz w:val="32"/>
    </w:rPr>
  </w:style>
  <w:style w:type="paragraph" w:styleId="4">
    <w:name w:val="heading 3"/>
    <w:basedOn w:val="1"/>
    <w:next w:val="1"/>
    <w:link w:val="11"/>
    <w:uiPriority w:val="0"/>
    <w:pPr>
      <w:keepNext/>
      <w:keepLines/>
      <w:spacing w:line="560" w:lineRule="exact"/>
      <w:ind w:firstLine="200" w:firstLineChars="200"/>
      <w:outlineLvl w:val="2"/>
    </w:pPr>
    <w:rPr>
      <w:rFonts w:eastAsia="楷体_GB2312"/>
      <w:b/>
      <w:sz w:val="32"/>
    </w:rPr>
  </w:style>
  <w:style w:type="character" w:default="1" w:styleId="10">
    <w:name w:val="Default Paragraph Fon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toc 3"/>
    <w:basedOn w:val="1"/>
    <w:next w:val="1"/>
    <w:uiPriority w:val="0"/>
    <w:pPr>
      <w:ind w:left="840"/>
    </w:pPr>
  </w:style>
  <w:style w:type="paragraph" w:styleId="6">
    <w:name w:val="toc 1"/>
    <w:basedOn w:val="1"/>
    <w:next w:val="1"/>
    <w:uiPriority w:val="0"/>
  </w:style>
  <w:style w:type="paragraph" w:styleId="7">
    <w:name w:val="toc 2"/>
    <w:basedOn w:val="1"/>
    <w:next w:val="1"/>
    <w:qFormat/>
    <w:uiPriority w:val="0"/>
    <w:pPr>
      <w:ind w:left="420"/>
    </w:pPr>
  </w:style>
  <w:style w:type="paragraph" w:styleId="8">
    <w:name w:val="Normal (Web)"/>
    <w:basedOn w:val="1"/>
    <w:uiPriority w:val="0"/>
    <w:pPr>
      <w:spacing w:before="0" w:beforeAutospacing="1" w:after="0" w:afterAutospacing="1"/>
      <w:ind w:left="0" w:right="0"/>
      <w:jc w:val="left"/>
    </w:pPr>
    <w:rPr>
      <w:kern w:val="0"/>
      <w:sz w:val="24"/>
      <w:lang w:val="en-US" w:eastAsia="zh-CN"/>
    </w:rPr>
  </w:style>
  <w:style w:type="character" w:customStyle="1" w:styleId="11">
    <w:name w:val="heading 3 Char"/>
    <w:basedOn w:val="10"/>
    <w:link w:val="4"/>
    <w:uiPriority w:val="0"/>
    <w:rPr>
      <w:rFonts w:ascii="Calibri" w:hAnsi="Calibri" w:eastAsia="楷体_GB2312" w:cs="Arial"/>
      <w:b/>
      <w:kern w:val="2"/>
      <w:sz w:val="3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12</Pages>
  <Words>3957</Words>
  <Characters>4268</Characters>
  <Lines>224</Lines>
  <Paragraphs>108</Paragraphs>
  <TotalTime>0</TotalTime>
  <ScaleCrop>false</ScaleCrop>
  <LinksUpToDate>false</LinksUpToDate>
  <CharactersWithSpaces>4321</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2021-03-02T07:30:00Z</dcterms:created>
  <dc:creator>admin</dc:creator>
  <cp:lastModifiedBy>偷影子的人༻</cp:lastModifiedBy>
  <dcterms:modified xsi:type="dcterms:W3CDTF">2024-04-16T02:26:19Z</dcterms:modified>
  <dc:title>广元市劳动人事争议仲裁院2021年部门预算编制说明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39E5C03211E6CD6A0A18176342902614</vt:lpwstr>
  </property>
</Properties>
</file>