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黑体" w:hAnsi="黑体" w:eastAsia="黑体" w:cs="黑体"/>
          <w:sz w:val="32"/>
          <w:szCs w:val="32"/>
        </w:rPr>
      </w:pPr>
      <w:r>
        <w:rPr>
          <w:rFonts w:hint="eastAsia" w:ascii="黑体" w:hAnsi="黑体" w:eastAsia="黑体" w:cs="黑体"/>
          <w:sz w:val="32"/>
          <w:szCs w:val="32"/>
        </w:rPr>
        <w:t>附件7</w:t>
      </w:r>
    </w:p>
    <w:p>
      <w:pPr>
        <w:adjustRightInd w:val="0"/>
        <w:snapToGrid w:val="0"/>
        <w:spacing w:line="540" w:lineRule="exact"/>
        <w:jc w:val="center"/>
        <w:rPr>
          <w:rFonts w:hint="eastAsia" w:ascii="方正小标宋简体" w:hAnsi="方正小标宋简体" w:eastAsia="方正小标宋简体" w:cs="方正小标宋简体"/>
          <w:sz w:val="44"/>
          <w:szCs w:val="44"/>
        </w:rPr>
      </w:pPr>
    </w:p>
    <w:p>
      <w:pPr>
        <w:adjustRightInd w:val="0"/>
        <w:snapToGrid w:val="0"/>
        <w:spacing w:after="120" w:afterLines="50" w:line="64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四川省卫生高级职称评审临床工作量要求</w:t>
      </w:r>
    </w:p>
    <w:bookmarkEnd w:id="0"/>
    <w:tbl>
      <w:tblPr>
        <w:tblStyle w:val="2"/>
        <w:tblW w:w="0" w:type="auto"/>
        <w:jc w:val="center"/>
        <w:tblLayout w:type="fixed"/>
        <w:tblCellMar>
          <w:top w:w="0" w:type="dxa"/>
          <w:left w:w="108" w:type="dxa"/>
          <w:bottom w:w="0" w:type="dxa"/>
          <w:right w:w="108" w:type="dxa"/>
        </w:tblCellMar>
      </w:tblPr>
      <w:tblGrid>
        <w:gridCol w:w="735"/>
        <w:gridCol w:w="1437"/>
        <w:gridCol w:w="2443"/>
        <w:gridCol w:w="1639"/>
        <w:gridCol w:w="1980"/>
        <w:gridCol w:w="2447"/>
        <w:gridCol w:w="1605"/>
        <w:gridCol w:w="1922"/>
      </w:tblGrid>
      <w:tr>
        <w:tblPrEx>
          <w:tblCellMar>
            <w:top w:w="0" w:type="dxa"/>
            <w:left w:w="108" w:type="dxa"/>
            <w:bottom w:w="0" w:type="dxa"/>
            <w:right w:w="108" w:type="dxa"/>
          </w:tblCellMar>
        </w:tblPrEx>
        <w:trPr>
          <w:trHeight w:val="66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序号</w:t>
            </w:r>
          </w:p>
        </w:tc>
        <w:tc>
          <w:tcPr>
            <w:tcW w:w="14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评审专业</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晋升卫生副高级职称临床工作量</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晋升卫生正高级职称临床工作量</w:t>
            </w:r>
          </w:p>
        </w:tc>
      </w:tr>
      <w:tr>
        <w:tblPrEx>
          <w:tblCellMar>
            <w:top w:w="0" w:type="dxa"/>
            <w:left w:w="108" w:type="dxa"/>
            <w:bottom w:w="0" w:type="dxa"/>
            <w:right w:w="108" w:type="dxa"/>
          </w:tblCellMar>
        </w:tblPrEx>
        <w:trPr>
          <w:trHeight w:val="6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4"/>
              </w:rPr>
            </w:pPr>
          </w:p>
        </w:tc>
        <w:tc>
          <w:tcPr>
            <w:tcW w:w="14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color w:val="000000"/>
                <w:sz w:val="24"/>
              </w:rPr>
            </w:pP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门诊工作量</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出院人数</w:t>
            </w:r>
          </w:p>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（有病房）</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手术/操作人次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门诊工作量</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出院人数</w:t>
            </w:r>
          </w:p>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（有病房）</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手术/操作人次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普通内科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心血管内科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呼吸内科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支气管镜200人次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支气管镜200人次</w:t>
            </w:r>
          </w:p>
        </w:tc>
      </w:tr>
      <w:tr>
        <w:tblPrEx>
          <w:tblCellMar>
            <w:top w:w="0" w:type="dxa"/>
            <w:left w:w="108" w:type="dxa"/>
            <w:bottom w:w="0" w:type="dxa"/>
            <w:right w:w="108" w:type="dxa"/>
          </w:tblCellMar>
        </w:tblPrEx>
        <w:trPr>
          <w:trHeight w:val="968"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消化内科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内镜5000人次,其中镜下治疗手术至少500例</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内镜5000人次,其中镜下治疗手术至少800例</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肾内科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神经内科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内分泌</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血液病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传染病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r>
              <w:rPr>
                <w:rFonts w:hint="eastAsia" w:ascii="仿宋_GB2312" w:hAnsi="仿宋_GB2312" w:eastAsia="仿宋_GB2312" w:cs="仿宋_GB2312"/>
                <w:kern w:val="0"/>
                <w:sz w:val="24"/>
                <w:lang w:bidi="ar"/>
              </w:rPr>
              <w:t>，500单元（无病房）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r>
              <w:rPr>
                <w:rFonts w:hint="eastAsia" w:ascii="仿宋_GB2312" w:hAnsi="仿宋_GB2312" w:eastAsia="仿宋_GB2312" w:cs="仿宋_GB2312"/>
                <w:kern w:val="0"/>
                <w:sz w:val="24"/>
                <w:lang w:bidi="ar"/>
              </w:rPr>
              <w:t>，800单元（无病房）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风湿病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结核病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老年医学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采供血医学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精神病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全科医学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职业病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普通外科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出院患者手术/操作800人次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骨外科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出院患者手术/操作800人次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胸心外科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400人次（心外）,600人次（胸外）</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出院患者手术/操作200人次（心外）,400人次（胸外）</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500人次（心外）、1000人次（胸外）</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出院患者手术/操作300人次（心外）,500人次（胸外）</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神经外科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出院患者手术/操作200人次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泌尿外科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出院患者手术/操作500人次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烧伤外科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出院患者手术/操作200人次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整形外科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手术/操作800人次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手术/操作1000人次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小儿外科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出院患者手术/操作500人次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麻醉学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color w:val="000000"/>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参与诊疗1500人次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参与诊疗1000人次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疼痛学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参与诊疗1500人次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参与诊疗1000人次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皮肤与性病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康复医学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400单元（有病房），500单元（无病房）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妇产科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出院患者手术/操作500人次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计划生育</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手术/操作800人次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color w:val="000000"/>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手术/操作1000人次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小儿内科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32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妇女保健</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500单元</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800单元</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33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儿童保健</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500单元</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800单元</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口腔医学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400单元（有病房），800单元（无病房）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350人次（有病房），诊疗3000人次（无病房）</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500人次（有病房），诊疗4000人次（无病房）</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口腔内科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400单元（有病房），800单元（无病房）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350人次（有病房），诊疗3000人次（无病房）</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500人次（有病房），诊疗4000人次（无病房）</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口腔颌面外科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400单元（有病房），800单元（无病房）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350人次（有病房），诊疗3000人次（无病房）</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500人次（有病房），诊疗4000人次（无病房）</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口腔修复</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400单元（有病房），800单元（无病房）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350人次（有病房），诊疗3000人次（无病房）</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500人次（有病房），诊疗4000人次（无病房）</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口腔正畸</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400单元（有病房），800单元（无病房）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350人次（有病房），诊疗3000人次（无病房）</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出院患者手术/操作300人次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500单元（有病房），800单元（无病房）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500人次（有病房），诊疗4000人次（无病房）</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眼科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出院患者手术/操作800人次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耳鼻喉(头颈外科)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出院患者手术/操作500人次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肿瘤内科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400单元（有病房）</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600单元（有病房）</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肿瘤外科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400个</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600人次</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出院患者手术/操作400人次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500个</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1000人次</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出院患者手术/操作500人次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放射肿瘤治疗学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重症医学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急诊医学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放射医学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签发报告5000份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签发报告5000份</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超声医学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签发报告5000份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签发报告5000份</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核医学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签发报告2500份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签发报告3000份</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介入治疗</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病理学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签发报告4000份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签发报告4000份</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临床医学检验临床基础检验</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参与诊疗1500人次，签发报告7500份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参与诊疗1000人次，签发报告5000份</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临床医学检验临床化学</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参与诊疗1500人次，签发报告7500份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参与诊疗1000人次，签发报告5000份</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临床医学检验临床免疫</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参与诊疗1500人次，签发报告7500份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参与诊疗1000人次，签发报告5000份</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临床医学检验临床血液</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参与诊疗1500人次，签发报告7500份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参与诊疗1000人次，签发报告5000份</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临床医学检验临床微生物</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参与诊疗1500人次，签发报告7500份</w:t>
            </w:r>
          </w:p>
        </w:tc>
        <w:tc>
          <w:tcPr>
            <w:tcW w:w="2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参与诊疗1000人次，签发报告5000份</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放射医学技术</w:t>
            </w:r>
          </w:p>
        </w:tc>
        <w:tc>
          <w:tcPr>
            <w:tcW w:w="6062" w:type="dxa"/>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肿瘤放射治疗技术</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超声医学技术</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59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核医学技术</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心电图技术</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脑电图技术</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康复医学治疗技术</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口腔医学技术</w:t>
            </w:r>
          </w:p>
        </w:tc>
        <w:tc>
          <w:tcPr>
            <w:tcW w:w="6062" w:type="dxa"/>
            <w:gridSpan w:val="3"/>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护理学</w:t>
            </w:r>
          </w:p>
        </w:tc>
        <w:tc>
          <w:tcPr>
            <w:tcW w:w="606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平均每年参加临床护理、护理管理、护理教学工作时间总计不少于40周，病历首页责任护士和质控护士记录累计不少于480条（急诊、重症、手术室、血透、导管室等科室从相应记录单提取护士记录）</w:t>
            </w:r>
          </w:p>
        </w:tc>
        <w:tc>
          <w:tcPr>
            <w:tcW w:w="597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平均每年参加临床护理、护理管理、护理教学工作时间总计不少于35周，病历首页责任护士和质控护士记录累计不少于240条（急诊、重症、手术室、血透、导管室等科室从相应记录单提取护士记录）</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内科护理</w:t>
            </w:r>
          </w:p>
        </w:tc>
        <w:tc>
          <w:tcPr>
            <w:tcW w:w="6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59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外科护理</w:t>
            </w:r>
          </w:p>
        </w:tc>
        <w:tc>
          <w:tcPr>
            <w:tcW w:w="6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59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妇产科护理</w:t>
            </w:r>
          </w:p>
        </w:tc>
        <w:tc>
          <w:tcPr>
            <w:tcW w:w="6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59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儿科护理</w:t>
            </w:r>
          </w:p>
        </w:tc>
        <w:tc>
          <w:tcPr>
            <w:tcW w:w="6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59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69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采供血护理</w:t>
            </w:r>
          </w:p>
        </w:tc>
        <w:tc>
          <w:tcPr>
            <w:tcW w:w="60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c>
          <w:tcPr>
            <w:tcW w:w="597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医院药学</w:t>
            </w:r>
          </w:p>
        </w:tc>
        <w:tc>
          <w:tcPr>
            <w:tcW w:w="6062" w:type="dxa"/>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平均每年参加药学专业工作时间不少于40周</w:t>
            </w:r>
          </w:p>
        </w:tc>
        <w:tc>
          <w:tcPr>
            <w:tcW w:w="5974" w:type="dxa"/>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平均每年参加药学专业工作时间不少于35周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临床药学</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药物分析</w:t>
            </w:r>
          </w:p>
        </w:tc>
        <w:tc>
          <w:tcPr>
            <w:tcW w:w="6062" w:type="dxa"/>
            <w:gridSpan w:val="3"/>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病理学技术</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临床医学检验技术</w:t>
            </w:r>
          </w:p>
        </w:tc>
        <w:tc>
          <w:tcPr>
            <w:tcW w:w="6062" w:type="dxa"/>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临床医学检验临床基础检验技术</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临床医学检验临床化学技术</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临床医学检验临床免疫技术</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临床医学检验临床血液技术</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79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临床医学检验临床微生物技术</w:t>
            </w:r>
          </w:p>
        </w:tc>
        <w:tc>
          <w:tcPr>
            <w:tcW w:w="6062" w:type="dxa"/>
            <w:gridSpan w:val="3"/>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输血技术</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采供血检验技术</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517"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血液制备技术</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536"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临床营养</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522"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消毒技术</w:t>
            </w:r>
          </w:p>
        </w:tc>
        <w:tc>
          <w:tcPr>
            <w:tcW w:w="606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492"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职业卫生</w:t>
            </w:r>
          </w:p>
        </w:tc>
        <w:tc>
          <w:tcPr>
            <w:tcW w:w="6062" w:type="dxa"/>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平均每年参加本专业工作时间不少于40周，其中现场工作或在基层工作天数不少于60天/年</w:t>
            </w:r>
          </w:p>
        </w:tc>
        <w:tc>
          <w:tcPr>
            <w:tcW w:w="5974" w:type="dxa"/>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平均每年参加本专业工作时间不少于35周，其中现场工作或在基层工作天数不少于60天/年</w:t>
            </w:r>
          </w:p>
        </w:tc>
      </w:tr>
      <w:tr>
        <w:tblPrEx>
          <w:tblCellMar>
            <w:top w:w="0" w:type="dxa"/>
            <w:left w:w="108" w:type="dxa"/>
            <w:bottom w:w="0" w:type="dxa"/>
            <w:right w:w="108" w:type="dxa"/>
          </w:tblCellMar>
        </w:tblPrEx>
        <w:trPr>
          <w:trHeight w:val="525"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环境卫生</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营养与食品卫生</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学校卫生与儿少卫生</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484"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89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放射卫生</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528"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卫生毒理</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传染性疾病控制</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92</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慢性非传染性疾病控制</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93</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寄生虫病控制</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45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94</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地方病控制</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95</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健康教育与健康促进</w:t>
            </w:r>
          </w:p>
        </w:tc>
        <w:tc>
          <w:tcPr>
            <w:tcW w:w="6062" w:type="dxa"/>
            <w:gridSpan w:val="3"/>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96</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理化检验技术</w:t>
            </w:r>
          </w:p>
        </w:tc>
        <w:tc>
          <w:tcPr>
            <w:tcW w:w="6062" w:type="dxa"/>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97</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微生物检验技术</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98</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病媒生物控制技术</w:t>
            </w:r>
          </w:p>
        </w:tc>
        <w:tc>
          <w:tcPr>
            <w:tcW w:w="6062" w:type="dxa"/>
            <w:gridSpan w:val="3"/>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99</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病案信息技术</w:t>
            </w:r>
          </w:p>
        </w:tc>
        <w:tc>
          <w:tcPr>
            <w:tcW w:w="6062" w:type="dxa"/>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平均每年参加本专业工作时间不少于40周</w:t>
            </w:r>
          </w:p>
        </w:tc>
        <w:tc>
          <w:tcPr>
            <w:tcW w:w="5974" w:type="dxa"/>
            <w:gridSpan w:val="3"/>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平均每年参加本专业工作时间不少于35周</w:t>
            </w: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100</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医学工程</w:t>
            </w:r>
          </w:p>
        </w:tc>
        <w:tc>
          <w:tcPr>
            <w:tcW w:w="6062"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101</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卫生管理</w:t>
            </w:r>
          </w:p>
        </w:tc>
        <w:tc>
          <w:tcPr>
            <w:tcW w:w="6062" w:type="dxa"/>
            <w:gridSpan w:val="3"/>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c>
          <w:tcPr>
            <w:tcW w:w="5974" w:type="dxa"/>
            <w:gridSpan w:val="3"/>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4"/>
              </w:rPr>
            </w:pPr>
          </w:p>
        </w:tc>
      </w:tr>
    </w:tbl>
    <w:p>
      <w:pPr>
        <w:overflowPunct w:val="0"/>
        <w:adjustRightInd w:val="0"/>
        <w:snapToGrid w:val="0"/>
        <w:spacing w:line="380" w:lineRule="exact"/>
        <w:rPr>
          <w:rFonts w:hint="eastAsia" w:ascii="楷体_GB2312" w:hAnsi="楷体_GB2312" w:eastAsia="楷体_GB2312" w:cs="楷体_GB2312"/>
          <w:color w:val="000000"/>
          <w:kern w:val="0"/>
          <w:sz w:val="24"/>
          <w:lang w:bidi="ar"/>
        </w:rPr>
      </w:pPr>
      <w:r>
        <w:rPr>
          <w:rFonts w:hint="eastAsia" w:ascii="黑体" w:hAnsi="黑体" w:eastAsia="黑体" w:cs="黑体"/>
          <w:color w:val="000000"/>
          <w:kern w:val="0"/>
          <w:sz w:val="24"/>
          <w:lang w:bidi="ar"/>
        </w:rPr>
        <w:t>备注：</w:t>
      </w:r>
      <w:r>
        <w:rPr>
          <w:rFonts w:hint="eastAsia" w:ascii="楷体_GB2312" w:hAnsi="楷体_GB2312" w:eastAsia="楷体_GB2312" w:cs="楷体_GB2312"/>
          <w:color w:val="000000"/>
          <w:kern w:val="0"/>
          <w:sz w:val="24"/>
          <w:lang w:bidi="ar"/>
        </w:rPr>
        <w:t>1.工作量指标是中级晋升副高、副高晋升正高期间的完成工作量，均从聘任时间开始计算。半天（4小时）接诊不少于15位患者为1个有效单元。非急诊科医生在任现职期间如轮转急诊科，工作期间按照4小时为一个门诊单元数计算。</w:t>
      </w:r>
    </w:p>
    <w:p>
      <w:pPr>
        <w:overflowPunct w:val="0"/>
        <w:adjustRightInd w:val="0"/>
        <w:snapToGrid w:val="0"/>
        <w:spacing w:line="380" w:lineRule="exact"/>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2.肾内科专业透析工作按照4小时为一个门诊单元数计算；传染病专业医师门诊工作量包含发热门诊、肠道门诊工作时间和会诊时间。</w:t>
      </w:r>
    </w:p>
    <w:p>
      <w:pPr>
        <w:overflowPunct w:val="0"/>
        <w:adjustRightInd w:val="0"/>
        <w:snapToGrid w:val="0"/>
        <w:spacing w:line="380" w:lineRule="exact"/>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3.全科医学专业医师门诊工作量包含下基层指导工作时间。</w:t>
      </w:r>
    </w:p>
    <w:p>
      <w:pPr>
        <w:overflowPunct w:val="0"/>
        <w:adjustRightInd w:val="0"/>
        <w:snapToGrid w:val="0"/>
        <w:spacing w:line="380" w:lineRule="exact"/>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4.内镜诊疗5000人次（含镜下治疗手术，晋升副主任医师至少500例，晋升主任医师至少800例，门诊患者和出院患者均包括）为消化内科专业必备的申报条件之一。</w:t>
      </w:r>
    </w:p>
    <w:p>
      <w:pPr>
        <w:overflowPunct w:val="0"/>
        <w:adjustRightInd w:val="0"/>
        <w:snapToGrid w:val="0"/>
        <w:spacing w:line="380" w:lineRule="exact"/>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5.呼吸内镜诊疗200人次（含呼吸内镜下检查和治疗）为呼吸内科专业必备的申报条件之一。</w:t>
      </w:r>
    </w:p>
    <w:p>
      <w:pPr>
        <w:overflowPunct w:val="0"/>
        <w:adjustRightInd w:val="0"/>
        <w:snapToGrid w:val="0"/>
        <w:spacing w:line="380" w:lineRule="exact"/>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6.手术/操作人次，晋升副主任医师以主刀或一助计算；晋升主任医师以主刀计算。</w:t>
      </w:r>
    </w:p>
    <w:p>
      <w:pPr>
        <w:overflowPunct w:val="0"/>
        <w:adjustRightInd w:val="0"/>
        <w:snapToGrid w:val="0"/>
        <w:spacing w:line="380" w:lineRule="exact"/>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7.出院人数以参与或作为治疗组组长计算。</w:t>
      </w:r>
    </w:p>
    <w:p>
      <w:pPr>
        <w:overflowPunct w:val="0"/>
        <w:adjustRightInd w:val="0"/>
        <w:snapToGrid w:val="0"/>
        <w:spacing w:line="380" w:lineRule="exact"/>
        <w:rPr>
          <w:rFonts w:hint="eastAsia" w:ascii="楷体_GB2312" w:hAnsi="楷体_GB2312" w:eastAsia="楷体_GB2312" w:cs="楷体_GB2312"/>
          <w:color w:val="000000"/>
          <w:kern w:val="0"/>
          <w:sz w:val="24"/>
          <w:lang w:bidi="ar"/>
        </w:rPr>
      </w:pPr>
      <w:r>
        <w:rPr>
          <w:rFonts w:hint="eastAsia" w:ascii="楷体_GB2312" w:hAnsi="楷体_GB2312" w:eastAsia="楷体_GB2312" w:cs="楷体_GB2312"/>
          <w:color w:val="000000"/>
          <w:kern w:val="0"/>
          <w:sz w:val="24"/>
          <w:lang w:bidi="ar"/>
        </w:rPr>
        <w:t>8.申报药学、护理和技术类专业，任职年限较长的人员应至少提供近五年的平均每年参加本专业工作时间。</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A402C"/>
    <w:rsid w:val="27DA4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2021-09-09T02:17:00Z</dcterms:created>
  <dc:creator>ma</dc:creator>
  <cp:lastModifiedBy>ma</cp:lastModifiedBy>
  <dcterms:modified xsi:type="dcterms:W3CDTF">2021-09-09T02:18:29Z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