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hint="eastAsia" w:ascii="黑体" w:hAnsi="仿宋" w:eastAsia="黑体"/>
          <w:snapToGrid w:val="0"/>
          <w:color w:val="000000"/>
          <w:sz w:val="32"/>
          <w:szCs w:val="32"/>
        </w:rPr>
      </w:pPr>
      <w:r>
        <w:rPr>
          <w:rFonts w:hint="eastAsia" w:ascii="黑体" w:hAnsi="仿宋" w:eastAsia="黑体"/>
          <w:snapToGrid w:val="0"/>
          <w:color w:val="000000"/>
          <w:sz w:val="32"/>
          <w:szCs w:val="32"/>
        </w:rPr>
        <w:t>附件2</w:t>
      </w:r>
    </w:p>
    <w:p>
      <w:pPr>
        <w:spacing w:before="120" w:beforeLines="50" w:after="120" w:afterLines="50"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卫生专业技术人员免进修学习登记表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60"/>
        <w:gridCol w:w="1780"/>
        <w:gridCol w:w="144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最高学历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从事专业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专业技术职务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聘任时间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免进修学习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原因</w:t>
            </w:r>
          </w:p>
        </w:tc>
        <w:tc>
          <w:tcPr>
            <w:tcW w:w="720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任现职以来，符合下列条件之一的，可免进修学习：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sym w:font="Wingdings 2" w:char="00A3"/>
            </w:r>
            <w:r>
              <w:rPr>
                <w:rFonts w:hint="eastAsia" w:ascii="仿宋_GB2312" w:hAnsi="黑体" w:eastAsia="仿宋_GB2312" w:cs="黑体"/>
                <w:szCs w:val="21"/>
              </w:rPr>
              <w:t>援外、援藏、援彝1年及以上的。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sym w:font="Wingdings 2" w:char="00A3"/>
            </w:r>
            <w:r>
              <w:rPr>
                <w:rFonts w:hint="eastAsia" w:ascii="仿宋_GB2312" w:hAnsi="黑体" w:eastAsia="仿宋_GB2312" w:cs="黑体"/>
                <w:szCs w:val="21"/>
              </w:rPr>
              <w:t>在省、市（州）三级医疗卫生机构工作的药、护、技类人员和公共卫生类医师，以及在省级其他卫生健康机构工作的。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sym w:font="Wingdings 2" w:char="00A3"/>
            </w:r>
            <w:r>
              <w:rPr>
                <w:rFonts w:hint="eastAsia" w:ascii="仿宋_GB2312" w:hAnsi="黑体" w:eastAsia="仿宋_GB2312" w:cs="黑体"/>
                <w:szCs w:val="21"/>
              </w:rPr>
              <w:t>取得住院医师、专科医师规范化培训或全科医师转岗、骨干医师培训合格证的。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sym w:font="Wingdings 2" w:char="00A3"/>
            </w:r>
            <w:r>
              <w:rPr>
                <w:rFonts w:hint="eastAsia" w:ascii="仿宋_GB2312" w:hAnsi="黑体" w:eastAsia="仿宋_GB2312" w:cs="黑体"/>
                <w:szCs w:val="21"/>
              </w:rPr>
              <w:t>取得省外或国外医疗机构同等时间进修合格证的临床、口腔类医师。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sym w:font="Wingdings 2" w:char="00A3"/>
            </w:r>
            <w:r>
              <w:rPr>
                <w:rFonts w:hint="eastAsia" w:ascii="仿宋_GB2312" w:hAnsi="黑体" w:eastAsia="仿宋_GB2312" w:cs="黑体"/>
                <w:szCs w:val="21"/>
              </w:rPr>
              <w:t>参加贫困地区城乡医疗卫生对口支援“传帮带”工程服务期满，且考核结果为合格及以上的。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sym w:font="Wingdings 2" w:char="00A3"/>
            </w:r>
            <w:r>
              <w:rPr>
                <w:rFonts w:hint="eastAsia" w:ascii="仿宋_GB2312" w:hAnsi="黑体" w:eastAsia="仿宋_GB2312" w:cs="黑体"/>
                <w:szCs w:val="21"/>
              </w:rPr>
              <w:t>海外引进高层次人才。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" w:eastAsia="仿宋_GB2312"/>
                <w:snapToGrid w:val="0"/>
                <w:szCs w:val="21"/>
              </w:rPr>
            </w:pPr>
            <w:r>
              <w:rPr>
                <w:rFonts w:hint="eastAsia" w:ascii="仿宋_GB2312" w:hAnsi="Wingdings 2" w:eastAsia="仿宋_GB2312" w:cs="仿宋"/>
                <w:szCs w:val="21"/>
              </w:rPr>
              <w:sym w:font="Wingdings 2" w:char="00A3"/>
            </w:r>
            <w:r>
              <w:rPr>
                <w:rFonts w:hint="eastAsia" w:ascii="仿宋_GB2312" w:hAnsi="仿宋" w:eastAsia="仿宋_GB2312"/>
                <w:snapToGrid w:val="0"/>
                <w:szCs w:val="21"/>
              </w:rPr>
              <w:t>疫情防控的一线卫生专业技术人员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" w:eastAsia="仿宋_GB2312"/>
                <w:snapToGrid w:val="0"/>
                <w:szCs w:val="21"/>
              </w:rPr>
            </w:pPr>
            <w:r>
              <w:rPr>
                <w:rFonts w:hint="eastAsia" w:ascii="仿宋_GB2312" w:hAnsi="Wingdings 2" w:eastAsia="仿宋_GB2312" w:cs="仿宋"/>
                <w:szCs w:val="21"/>
              </w:rPr>
              <w:sym w:font="Wingdings 2" w:char="00A3"/>
            </w:r>
            <w:r>
              <w:rPr>
                <w:rFonts w:hint="eastAsia" w:ascii="仿宋_GB2312" w:hAnsi="Wingdings 2" w:eastAsia="仿宋_GB2312" w:cs="仿宋"/>
                <w:szCs w:val="21"/>
              </w:rPr>
              <w:t>综合帮扶凉山州脱贫攻坚工作队队员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所在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审查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意见</w:t>
            </w:r>
          </w:p>
        </w:tc>
        <w:tc>
          <w:tcPr>
            <w:tcW w:w="7200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 w:cs="仿宋_GB2312"/>
                <w:szCs w:val="21"/>
              </w:rPr>
            </w:pPr>
          </w:p>
          <w:p>
            <w:pPr>
              <w:spacing w:line="440" w:lineRule="exact"/>
              <w:rPr>
                <w:rFonts w:hint="eastAsia" w:ascii="仿宋_GB2312" w:eastAsia="仿宋_GB2312" w:cs="仿宋_GB2312"/>
                <w:szCs w:val="21"/>
              </w:rPr>
            </w:pPr>
          </w:p>
          <w:p>
            <w:pPr>
              <w:spacing w:line="440" w:lineRule="exact"/>
              <w:rPr>
                <w:rFonts w:hint="eastAsia" w:ascii="仿宋_GB2312" w:eastAsia="仿宋_GB2312" w:cs="仿宋_GB2312"/>
                <w:szCs w:val="21"/>
              </w:rPr>
            </w:pPr>
          </w:p>
          <w:p>
            <w:pPr>
              <w:spacing w:line="440" w:lineRule="exact"/>
              <w:ind w:firstLine="3761" w:firstLineChars="1791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单位：（公章）</w:t>
            </w:r>
          </w:p>
          <w:p>
            <w:pPr>
              <w:spacing w:line="440" w:lineRule="exact"/>
              <w:ind w:firstLine="3570" w:firstLineChars="1700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负责人：      年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主管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部门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意见</w:t>
            </w:r>
          </w:p>
        </w:tc>
        <w:tc>
          <w:tcPr>
            <w:tcW w:w="7200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 w:cs="仿宋_GB2312"/>
                <w:szCs w:val="21"/>
              </w:rPr>
            </w:pPr>
          </w:p>
          <w:p>
            <w:pPr>
              <w:spacing w:line="440" w:lineRule="exact"/>
              <w:rPr>
                <w:rFonts w:hint="eastAsia" w:ascii="仿宋_GB2312" w:eastAsia="仿宋_GB2312" w:cs="仿宋_GB2312"/>
                <w:szCs w:val="21"/>
              </w:rPr>
            </w:pPr>
          </w:p>
          <w:p>
            <w:pPr>
              <w:spacing w:line="440" w:lineRule="exact"/>
              <w:rPr>
                <w:rFonts w:hint="eastAsia" w:ascii="仿宋_GB2312" w:eastAsia="仿宋_GB2312" w:cs="仿宋_GB2312"/>
                <w:szCs w:val="21"/>
              </w:rPr>
            </w:pPr>
          </w:p>
          <w:p>
            <w:pPr>
              <w:spacing w:line="440" w:lineRule="exact"/>
              <w:ind w:firstLine="3761" w:firstLineChars="1791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单位：（公章）</w:t>
            </w:r>
          </w:p>
          <w:p>
            <w:pPr>
              <w:spacing w:line="440" w:lineRule="exact"/>
              <w:ind w:firstLine="3675" w:firstLineChars="1750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负责人：      年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日</w:t>
            </w:r>
          </w:p>
        </w:tc>
      </w:tr>
    </w:tbl>
    <w:p>
      <w:pPr>
        <w:adjustRightInd w:val="0"/>
        <w:snapToGrid w:val="0"/>
        <w:spacing w:line="320" w:lineRule="exact"/>
        <w:ind w:left="480" w:hanging="480" w:hanging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</w:t>
      </w:r>
      <w:r>
        <w:rPr>
          <w:rFonts w:hint="eastAsia" w:ascii="仿宋_GB2312" w:hAnsi="仿宋" w:eastAsia="仿宋_GB2312"/>
          <w:snapToGrid w:val="0"/>
          <w:sz w:val="24"/>
        </w:rPr>
        <w:t>1.个人基本信息、学历信息、从事专业及专业技术职务情况须与申报信息一致；2.所在单位须勾选免进修学习原因并附相关证明材料。弄虚作假者，三年内不得申报卫生高级职称。</w:t>
      </w:r>
    </w:p>
    <w:p>
      <w:pPr>
        <w:adjustRightInd w:val="0"/>
        <w:snapToGrid w:val="0"/>
        <w:spacing w:line="320" w:lineRule="exact"/>
        <w:ind w:firstLine="2880" w:firstLineChars="1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         四川省卫生健康委员会制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62B66"/>
    <w:rsid w:val="32E6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2021-09-09T02:10:00Z</dcterms:created>
  <dc:creator>ma</dc:creator>
  <cp:lastModifiedBy>ma</cp:lastModifiedBy>
  <dcterms:modified xsi:type="dcterms:W3CDTF">2021-09-09T02:11:24Z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