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EA" w:rsidRPr="00C222C4" w:rsidRDefault="00137EEA" w:rsidP="00137EEA">
      <w:pPr>
        <w:widowControl/>
        <w:tabs>
          <w:tab w:val="left" w:pos="420"/>
          <w:tab w:val="left" w:pos="525"/>
        </w:tabs>
        <w:spacing w:line="520" w:lineRule="exact"/>
        <w:rPr>
          <w:rFonts w:ascii="方正黑体简体" w:eastAsia="方正黑体简体"/>
          <w:color w:val="000000" w:themeColor="text1"/>
          <w:kern w:val="0"/>
          <w:sz w:val="32"/>
          <w:szCs w:val="32"/>
        </w:rPr>
      </w:pPr>
      <w:r w:rsidRPr="00C222C4">
        <w:rPr>
          <w:rFonts w:ascii="方正黑体简体" w:eastAsia="方正黑体简体" w:hint="eastAsia"/>
          <w:color w:val="000000" w:themeColor="text1"/>
          <w:kern w:val="0"/>
          <w:sz w:val="32"/>
          <w:szCs w:val="32"/>
        </w:rPr>
        <w:t>附件3</w:t>
      </w:r>
    </w:p>
    <w:p w:rsidR="00137EEA" w:rsidRPr="00C222C4" w:rsidRDefault="00137EEA" w:rsidP="00137EEA">
      <w:pPr>
        <w:widowControl/>
        <w:tabs>
          <w:tab w:val="left" w:pos="420"/>
          <w:tab w:val="left" w:pos="525"/>
        </w:tabs>
        <w:spacing w:line="240" w:lineRule="exact"/>
        <w:rPr>
          <w:rFonts w:ascii="方正黑体简体" w:eastAsia="方正黑体简体"/>
          <w:color w:val="000000" w:themeColor="text1"/>
          <w:kern w:val="0"/>
          <w:sz w:val="32"/>
          <w:szCs w:val="32"/>
        </w:rPr>
      </w:pPr>
    </w:p>
    <w:p w:rsidR="00137EEA" w:rsidRPr="00C222C4" w:rsidRDefault="00137EEA" w:rsidP="00137EEA">
      <w:pPr>
        <w:widowControl/>
        <w:tabs>
          <w:tab w:val="left" w:pos="420"/>
          <w:tab w:val="left" w:pos="525"/>
        </w:tabs>
        <w:spacing w:line="520" w:lineRule="exact"/>
        <w:rPr>
          <w:rFonts w:ascii="方正小标宋简体" w:eastAsia="方正小标宋简体"/>
          <w:b/>
          <w:color w:val="000000" w:themeColor="text1"/>
          <w:spacing w:val="-12"/>
          <w:kern w:val="0"/>
          <w:sz w:val="44"/>
          <w:szCs w:val="44"/>
        </w:rPr>
      </w:pPr>
      <w:r w:rsidRPr="00C222C4">
        <w:rPr>
          <w:rFonts w:ascii="方正小标宋简体" w:eastAsia="方正小标宋简体" w:hint="eastAsia"/>
          <w:b/>
          <w:color w:val="000000" w:themeColor="text1"/>
          <w:spacing w:val="-12"/>
          <w:kern w:val="0"/>
          <w:sz w:val="44"/>
          <w:szCs w:val="44"/>
        </w:rPr>
        <w:t>2018年企业职工基本养老保险参保人员因病或非因工死亡待遇计发标准表</w:t>
      </w:r>
    </w:p>
    <w:p w:rsidR="00137EEA" w:rsidRPr="00C222C4" w:rsidRDefault="00137EEA" w:rsidP="00137EEA">
      <w:pPr>
        <w:widowControl/>
        <w:tabs>
          <w:tab w:val="left" w:pos="420"/>
          <w:tab w:val="left" w:pos="525"/>
        </w:tabs>
        <w:spacing w:line="240" w:lineRule="exact"/>
        <w:rPr>
          <w:rFonts w:ascii="方正小标宋简体" w:eastAsia="方正小标宋简体"/>
          <w:color w:val="000000" w:themeColor="text1"/>
          <w:spacing w:val="-12"/>
          <w:kern w:val="0"/>
          <w:sz w:val="44"/>
          <w:szCs w:val="4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9"/>
        <w:gridCol w:w="3119"/>
        <w:gridCol w:w="4108"/>
        <w:gridCol w:w="3686"/>
      </w:tblGrid>
      <w:tr w:rsidR="00137EEA" w:rsidRPr="00C222C4" w:rsidTr="00610DCD">
        <w:trPr>
          <w:trHeight w:val="664"/>
        </w:trPr>
        <w:tc>
          <w:tcPr>
            <w:tcW w:w="3229" w:type="dxa"/>
            <w:tcBorders>
              <w:top w:val="single" w:sz="4" w:space="0" w:color="auto"/>
              <w:left w:val="single" w:sz="4" w:space="0" w:color="auto"/>
              <w:bottom w:val="single" w:sz="4" w:space="0" w:color="auto"/>
              <w:right w:val="single" w:sz="4" w:space="0" w:color="auto"/>
            </w:tcBorders>
            <w:vAlign w:val="center"/>
          </w:tcPr>
          <w:p w:rsidR="00137EEA" w:rsidRPr="00C222C4" w:rsidRDefault="00137EEA" w:rsidP="00610DCD">
            <w:pPr>
              <w:widowControl/>
              <w:spacing w:line="520" w:lineRule="exact"/>
              <w:ind w:left="235" w:hangingChars="98" w:hanging="235"/>
              <w:jc w:val="center"/>
              <w:rPr>
                <w:rFonts w:ascii="方正黑体简体" w:eastAsia="方正黑体简体" w:hAnsiTheme="minorEastAsia"/>
                <w:color w:val="000000" w:themeColor="text1"/>
                <w:kern w:val="0"/>
                <w:sz w:val="24"/>
              </w:rPr>
            </w:pPr>
            <w:r w:rsidRPr="00C222C4">
              <w:rPr>
                <w:rFonts w:ascii="方正黑体简体" w:eastAsia="方正黑体简体" w:hAnsiTheme="minorEastAsia" w:hint="eastAsia"/>
                <w:color w:val="000000" w:themeColor="text1"/>
                <w:kern w:val="0"/>
                <w:sz w:val="24"/>
              </w:rPr>
              <w:t>人员类别</w:t>
            </w:r>
          </w:p>
        </w:tc>
        <w:tc>
          <w:tcPr>
            <w:tcW w:w="3119" w:type="dxa"/>
            <w:tcBorders>
              <w:top w:val="single" w:sz="4" w:space="0" w:color="auto"/>
              <w:left w:val="single" w:sz="4" w:space="0" w:color="auto"/>
              <w:bottom w:val="single" w:sz="4" w:space="0" w:color="auto"/>
              <w:right w:val="single" w:sz="4" w:space="0" w:color="auto"/>
            </w:tcBorders>
            <w:vAlign w:val="center"/>
          </w:tcPr>
          <w:p w:rsidR="00137EEA" w:rsidRPr="00C222C4" w:rsidRDefault="00137EEA" w:rsidP="00610DCD">
            <w:pPr>
              <w:widowControl/>
              <w:spacing w:line="520" w:lineRule="exact"/>
              <w:jc w:val="center"/>
              <w:rPr>
                <w:rFonts w:ascii="方正黑体简体" w:eastAsia="方正黑体简体" w:hAnsiTheme="minorEastAsia"/>
                <w:color w:val="000000" w:themeColor="text1"/>
                <w:kern w:val="0"/>
                <w:sz w:val="24"/>
              </w:rPr>
            </w:pPr>
            <w:r w:rsidRPr="00C222C4">
              <w:rPr>
                <w:rFonts w:ascii="方正黑体简体" w:eastAsia="方正黑体简体" w:hAnsiTheme="minorEastAsia" w:hint="eastAsia"/>
                <w:color w:val="000000" w:themeColor="text1"/>
                <w:kern w:val="0"/>
                <w:sz w:val="24"/>
              </w:rPr>
              <w:t>丧葬补助金</w:t>
            </w:r>
          </w:p>
        </w:tc>
        <w:tc>
          <w:tcPr>
            <w:tcW w:w="4108" w:type="dxa"/>
            <w:tcBorders>
              <w:top w:val="single" w:sz="4" w:space="0" w:color="auto"/>
              <w:left w:val="single" w:sz="4" w:space="0" w:color="auto"/>
              <w:bottom w:val="single" w:sz="4" w:space="0" w:color="auto"/>
              <w:right w:val="single" w:sz="4" w:space="0" w:color="auto"/>
            </w:tcBorders>
            <w:vAlign w:val="center"/>
          </w:tcPr>
          <w:p w:rsidR="00137EEA" w:rsidRPr="00C222C4" w:rsidRDefault="00137EEA" w:rsidP="00610DCD">
            <w:pPr>
              <w:widowControl/>
              <w:spacing w:line="520" w:lineRule="exact"/>
              <w:jc w:val="center"/>
              <w:rPr>
                <w:rFonts w:ascii="方正黑体简体" w:eastAsia="方正黑体简体" w:hAnsiTheme="minorEastAsia"/>
                <w:color w:val="000000" w:themeColor="text1"/>
                <w:kern w:val="0"/>
                <w:sz w:val="24"/>
              </w:rPr>
            </w:pPr>
            <w:r w:rsidRPr="00C222C4">
              <w:rPr>
                <w:rFonts w:ascii="方正黑体简体" w:eastAsia="方正黑体简体" w:hAnsiTheme="minorEastAsia" w:hint="eastAsia"/>
                <w:color w:val="000000" w:themeColor="text1"/>
                <w:kern w:val="0"/>
                <w:sz w:val="24"/>
              </w:rPr>
              <w:t>一次性抚恤金</w:t>
            </w:r>
          </w:p>
        </w:tc>
        <w:tc>
          <w:tcPr>
            <w:tcW w:w="3686" w:type="dxa"/>
            <w:tcBorders>
              <w:top w:val="single" w:sz="4" w:space="0" w:color="auto"/>
              <w:left w:val="single" w:sz="4" w:space="0" w:color="auto"/>
              <w:bottom w:val="single" w:sz="4" w:space="0" w:color="auto"/>
              <w:right w:val="single" w:sz="4" w:space="0" w:color="auto"/>
            </w:tcBorders>
            <w:vAlign w:val="center"/>
          </w:tcPr>
          <w:p w:rsidR="00137EEA" w:rsidRPr="00C222C4" w:rsidRDefault="00137EEA" w:rsidP="00610DCD">
            <w:pPr>
              <w:widowControl/>
              <w:spacing w:line="520" w:lineRule="exact"/>
              <w:jc w:val="center"/>
              <w:rPr>
                <w:rFonts w:ascii="方正黑体简体" w:eastAsia="方正黑体简体" w:hAnsiTheme="minorEastAsia"/>
                <w:color w:val="000000" w:themeColor="text1"/>
                <w:kern w:val="0"/>
                <w:sz w:val="24"/>
              </w:rPr>
            </w:pPr>
            <w:r w:rsidRPr="00C222C4">
              <w:rPr>
                <w:rFonts w:ascii="方正黑体简体" w:eastAsia="方正黑体简体" w:hAnsiTheme="minorEastAsia" w:hint="eastAsia"/>
                <w:color w:val="000000" w:themeColor="text1"/>
                <w:kern w:val="0"/>
                <w:sz w:val="24"/>
              </w:rPr>
              <w:t>政策依据</w:t>
            </w:r>
          </w:p>
        </w:tc>
      </w:tr>
      <w:tr w:rsidR="00137EEA" w:rsidRPr="00C222C4" w:rsidTr="00610DCD">
        <w:trPr>
          <w:trHeight w:val="2054"/>
        </w:trPr>
        <w:tc>
          <w:tcPr>
            <w:tcW w:w="3229" w:type="dxa"/>
            <w:vMerge w:val="restart"/>
            <w:tcBorders>
              <w:top w:val="single" w:sz="4" w:space="0" w:color="auto"/>
              <w:left w:val="single" w:sz="4" w:space="0" w:color="auto"/>
              <w:right w:val="single" w:sz="4" w:space="0" w:color="auto"/>
            </w:tcBorders>
            <w:vAlign w:val="center"/>
          </w:tcPr>
          <w:p w:rsidR="00137EEA" w:rsidRPr="00C222C4" w:rsidRDefault="00137EEA" w:rsidP="00610DCD">
            <w:pPr>
              <w:spacing w:line="520" w:lineRule="exact"/>
              <w:jc w:val="center"/>
              <w:rPr>
                <w:rFonts w:asciiTheme="minorEastAsia" w:eastAsiaTheme="minorEastAsia" w:hAnsiTheme="minorEastAsia"/>
                <w:color w:val="000000" w:themeColor="text1"/>
                <w:kern w:val="0"/>
                <w:sz w:val="24"/>
              </w:rPr>
            </w:pPr>
            <w:r w:rsidRPr="00C222C4">
              <w:rPr>
                <w:rFonts w:asciiTheme="minorEastAsia" w:eastAsiaTheme="minorEastAsia" w:hAnsiTheme="minorEastAsia" w:hint="eastAsia"/>
                <w:color w:val="000000" w:themeColor="text1"/>
                <w:kern w:val="0"/>
                <w:sz w:val="24"/>
              </w:rPr>
              <w:t xml:space="preserve">在职职工 </w:t>
            </w:r>
          </w:p>
          <w:p w:rsidR="00137EEA" w:rsidRPr="00C222C4" w:rsidRDefault="00137EEA" w:rsidP="00610DCD">
            <w:pPr>
              <w:spacing w:line="520" w:lineRule="exact"/>
              <w:jc w:val="center"/>
              <w:rPr>
                <w:rFonts w:asciiTheme="minorEastAsia" w:eastAsiaTheme="minorEastAsia" w:hAnsiTheme="minorEastAsia"/>
                <w:color w:val="000000" w:themeColor="text1"/>
                <w:kern w:val="0"/>
                <w:sz w:val="24"/>
              </w:rPr>
            </w:pPr>
            <w:r w:rsidRPr="00C222C4">
              <w:rPr>
                <w:rFonts w:asciiTheme="minorEastAsia" w:eastAsiaTheme="minorEastAsia" w:hAnsiTheme="minorEastAsia" w:hint="eastAsia"/>
                <w:color w:val="000000" w:themeColor="text1"/>
                <w:kern w:val="0"/>
                <w:sz w:val="24"/>
              </w:rPr>
              <w:t>个体参保人员</w:t>
            </w:r>
          </w:p>
        </w:tc>
        <w:tc>
          <w:tcPr>
            <w:tcW w:w="3119" w:type="dxa"/>
            <w:tcBorders>
              <w:top w:val="single" w:sz="4" w:space="0" w:color="auto"/>
              <w:left w:val="single" w:sz="4" w:space="0" w:color="auto"/>
              <w:right w:val="single" w:sz="4" w:space="0" w:color="auto"/>
            </w:tcBorders>
            <w:vAlign w:val="center"/>
          </w:tcPr>
          <w:p w:rsidR="00137EEA" w:rsidRPr="00C222C4" w:rsidRDefault="00137EEA" w:rsidP="00610DCD">
            <w:pPr>
              <w:spacing w:line="520" w:lineRule="exact"/>
              <w:ind w:firstLineChars="200" w:firstLine="480"/>
              <w:jc w:val="left"/>
              <w:rPr>
                <w:rFonts w:asciiTheme="minorEastAsia" w:eastAsiaTheme="minorEastAsia" w:hAnsiTheme="minorEastAsia"/>
                <w:color w:val="000000" w:themeColor="text1"/>
                <w:kern w:val="0"/>
                <w:sz w:val="24"/>
              </w:rPr>
            </w:pPr>
            <w:r w:rsidRPr="00C222C4">
              <w:rPr>
                <w:rFonts w:asciiTheme="minorEastAsia" w:eastAsiaTheme="minorEastAsia" w:hAnsiTheme="minorEastAsia" w:hint="eastAsia"/>
                <w:color w:val="000000" w:themeColor="text1"/>
                <w:kern w:val="0"/>
                <w:sz w:val="24"/>
              </w:rPr>
              <w:t>按2017年省平工资的3个月（5969.25元/月）计发为17907.75元。</w:t>
            </w:r>
          </w:p>
        </w:tc>
        <w:tc>
          <w:tcPr>
            <w:tcW w:w="4108" w:type="dxa"/>
            <w:tcBorders>
              <w:top w:val="single" w:sz="4" w:space="0" w:color="auto"/>
              <w:left w:val="single" w:sz="4" w:space="0" w:color="auto"/>
              <w:right w:val="single" w:sz="4" w:space="0" w:color="auto"/>
            </w:tcBorders>
            <w:vAlign w:val="center"/>
          </w:tcPr>
          <w:p w:rsidR="00137EEA" w:rsidRPr="00C222C4" w:rsidRDefault="00137EEA" w:rsidP="00610DCD">
            <w:pPr>
              <w:widowControl/>
              <w:spacing w:line="520" w:lineRule="exact"/>
              <w:ind w:firstLineChars="200" w:firstLine="480"/>
              <w:jc w:val="left"/>
              <w:rPr>
                <w:rFonts w:asciiTheme="minorEastAsia" w:eastAsiaTheme="minorEastAsia" w:hAnsiTheme="minorEastAsia"/>
                <w:color w:val="000000" w:themeColor="text1"/>
                <w:kern w:val="0"/>
                <w:sz w:val="24"/>
              </w:rPr>
            </w:pPr>
            <w:r w:rsidRPr="00C222C4">
              <w:rPr>
                <w:rFonts w:asciiTheme="minorEastAsia" w:eastAsiaTheme="minorEastAsia" w:hAnsiTheme="minorEastAsia" w:hint="eastAsia"/>
                <w:color w:val="000000" w:themeColor="text1"/>
                <w:kern w:val="0"/>
                <w:sz w:val="24"/>
              </w:rPr>
              <w:t>按2017年全省城镇居民月人均可支配收入2384.67元的7个月计发为16692.69元（缴费年限不满15年的，按比例计发）。</w:t>
            </w:r>
          </w:p>
        </w:tc>
        <w:tc>
          <w:tcPr>
            <w:tcW w:w="3686" w:type="dxa"/>
            <w:vMerge w:val="restart"/>
            <w:tcBorders>
              <w:top w:val="single" w:sz="4" w:space="0" w:color="auto"/>
              <w:left w:val="single" w:sz="4" w:space="0" w:color="auto"/>
              <w:right w:val="single" w:sz="4" w:space="0" w:color="auto"/>
            </w:tcBorders>
            <w:vAlign w:val="center"/>
          </w:tcPr>
          <w:p w:rsidR="00137EEA" w:rsidRPr="00C222C4" w:rsidRDefault="00137EEA" w:rsidP="00610DCD">
            <w:pPr>
              <w:widowControl/>
              <w:spacing w:line="520" w:lineRule="exact"/>
              <w:jc w:val="center"/>
              <w:rPr>
                <w:rFonts w:asciiTheme="minorEastAsia" w:eastAsiaTheme="minorEastAsia" w:hAnsiTheme="minorEastAsia"/>
                <w:color w:val="000000" w:themeColor="text1"/>
                <w:kern w:val="0"/>
                <w:sz w:val="24"/>
              </w:rPr>
            </w:pPr>
            <w:r w:rsidRPr="00C222C4">
              <w:rPr>
                <w:rFonts w:asciiTheme="minorEastAsia" w:eastAsiaTheme="minorEastAsia" w:hAnsiTheme="minorEastAsia" w:hint="eastAsia"/>
                <w:color w:val="000000" w:themeColor="text1"/>
                <w:kern w:val="0"/>
                <w:sz w:val="24"/>
              </w:rPr>
              <w:t>川人社发〔2013〕54号</w:t>
            </w:r>
          </w:p>
        </w:tc>
      </w:tr>
      <w:tr w:rsidR="00137EEA" w:rsidRPr="00C222C4" w:rsidTr="00610DCD">
        <w:trPr>
          <w:trHeight w:val="1206"/>
        </w:trPr>
        <w:tc>
          <w:tcPr>
            <w:tcW w:w="3229" w:type="dxa"/>
            <w:vMerge/>
            <w:tcBorders>
              <w:left w:val="single" w:sz="4" w:space="0" w:color="auto"/>
              <w:right w:val="single" w:sz="4" w:space="0" w:color="auto"/>
            </w:tcBorders>
            <w:vAlign w:val="center"/>
          </w:tcPr>
          <w:p w:rsidR="00137EEA" w:rsidRPr="00C222C4" w:rsidRDefault="00137EEA" w:rsidP="00610DCD">
            <w:pPr>
              <w:spacing w:line="520" w:lineRule="exact"/>
              <w:jc w:val="center"/>
              <w:rPr>
                <w:rFonts w:asciiTheme="minorEastAsia" w:eastAsiaTheme="minorEastAsia" w:hAnsiTheme="minorEastAsia"/>
                <w:color w:val="000000" w:themeColor="text1"/>
                <w:kern w:val="0"/>
                <w:sz w:val="24"/>
              </w:rPr>
            </w:pPr>
          </w:p>
        </w:tc>
        <w:tc>
          <w:tcPr>
            <w:tcW w:w="7227" w:type="dxa"/>
            <w:gridSpan w:val="2"/>
            <w:tcBorders>
              <w:top w:val="single" w:sz="4" w:space="0" w:color="auto"/>
              <w:left w:val="single" w:sz="4" w:space="0" w:color="auto"/>
              <w:right w:val="single" w:sz="4" w:space="0" w:color="auto"/>
            </w:tcBorders>
            <w:vAlign w:val="center"/>
          </w:tcPr>
          <w:p w:rsidR="00137EEA" w:rsidRPr="00C222C4" w:rsidRDefault="00137EEA" w:rsidP="00610DCD">
            <w:pPr>
              <w:spacing w:line="520" w:lineRule="exact"/>
              <w:ind w:firstLineChars="200" w:firstLine="480"/>
              <w:jc w:val="left"/>
              <w:rPr>
                <w:rFonts w:asciiTheme="minorEastAsia" w:eastAsiaTheme="minorEastAsia" w:hAnsiTheme="minorEastAsia"/>
                <w:color w:val="000000" w:themeColor="text1"/>
                <w:kern w:val="0"/>
                <w:sz w:val="24"/>
              </w:rPr>
            </w:pPr>
            <w:r w:rsidRPr="00C222C4">
              <w:rPr>
                <w:rFonts w:asciiTheme="minorEastAsia" w:eastAsiaTheme="minorEastAsia" w:hAnsiTheme="minorEastAsia" w:hint="eastAsia"/>
                <w:color w:val="000000" w:themeColor="text1"/>
                <w:kern w:val="0"/>
                <w:sz w:val="24"/>
              </w:rPr>
              <w:t>参保人员缴费不满3年的，计发的丧葬补助金和抚恤金总额不得超过已缴纳的养老保险费的总额。</w:t>
            </w:r>
          </w:p>
        </w:tc>
        <w:tc>
          <w:tcPr>
            <w:tcW w:w="3686" w:type="dxa"/>
            <w:vMerge/>
            <w:tcBorders>
              <w:left w:val="single" w:sz="4" w:space="0" w:color="auto"/>
              <w:right w:val="single" w:sz="4" w:space="0" w:color="auto"/>
            </w:tcBorders>
            <w:vAlign w:val="center"/>
          </w:tcPr>
          <w:p w:rsidR="00137EEA" w:rsidRPr="00C222C4" w:rsidRDefault="00137EEA" w:rsidP="00610DCD">
            <w:pPr>
              <w:widowControl/>
              <w:spacing w:line="520" w:lineRule="exact"/>
              <w:jc w:val="center"/>
              <w:rPr>
                <w:rFonts w:asciiTheme="minorEastAsia" w:eastAsiaTheme="minorEastAsia" w:hAnsiTheme="minorEastAsia"/>
                <w:color w:val="000000" w:themeColor="text1"/>
                <w:kern w:val="0"/>
                <w:sz w:val="24"/>
              </w:rPr>
            </w:pPr>
          </w:p>
        </w:tc>
      </w:tr>
      <w:tr w:rsidR="00137EEA" w:rsidRPr="00C222C4" w:rsidTr="00610DCD">
        <w:trPr>
          <w:trHeight w:val="2259"/>
        </w:trPr>
        <w:tc>
          <w:tcPr>
            <w:tcW w:w="3229" w:type="dxa"/>
            <w:tcBorders>
              <w:top w:val="single" w:sz="4" w:space="0" w:color="auto"/>
              <w:left w:val="single" w:sz="4" w:space="0" w:color="auto"/>
              <w:right w:val="single" w:sz="4" w:space="0" w:color="auto"/>
            </w:tcBorders>
            <w:vAlign w:val="center"/>
          </w:tcPr>
          <w:p w:rsidR="00137EEA" w:rsidRPr="00C222C4" w:rsidRDefault="00137EEA" w:rsidP="00610DCD">
            <w:pPr>
              <w:spacing w:line="520" w:lineRule="exact"/>
              <w:jc w:val="center"/>
              <w:rPr>
                <w:rFonts w:asciiTheme="minorEastAsia" w:eastAsiaTheme="minorEastAsia" w:hAnsiTheme="minorEastAsia"/>
                <w:color w:val="000000" w:themeColor="text1"/>
                <w:kern w:val="0"/>
                <w:sz w:val="24"/>
              </w:rPr>
            </w:pPr>
            <w:r w:rsidRPr="00C222C4">
              <w:rPr>
                <w:rFonts w:asciiTheme="minorEastAsia" w:eastAsiaTheme="minorEastAsia" w:hAnsiTheme="minorEastAsia" w:hint="eastAsia"/>
                <w:color w:val="000000" w:themeColor="text1"/>
                <w:kern w:val="0"/>
                <w:sz w:val="24"/>
              </w:rPr>
              <w:t>退休人员</w:t>
            </w:r>
          </w:p>
          <w:p w:rsidR="00137EEA" w:rsidRPr="00C222C4" w:rsidRDefault="00137EEA" w:rsidP="00610DCD">
            <w:pPr>
              <w:spacing w:line="520" w:lineRule="exact"/>
              <w:jc w:val="center"/>
              <w:rPr>
                <w:rFonts w:asciiTheme="minorEastAsia" w:eastAsiaTheme="minorEastAsia" w:hAnsiTheme="minorEastAsia"/>
                <w:color w:val="000000" w:themeColor="text1"/>
                <w:kern w:val="0"/>
                <w:sz w:val="24"/>
              </w:rPr>
            </w:pPr>
            <w:r w:rsidRPr="00C222C4">
              <w:rPr>
                <w:rFonts w:asciiTheme="minorEastAsia" w:eastAsiaTheme="minorEastAsia" w:hAnsiTheme="minorEastAsia" w:hint="eastAsia"/>
                <w:color w:val="000000" w:themeColor="text1"/>
                <w:kern w:val="0"/>
                <w:sz w:val="24"/>
              </w:rPr>
              <w:t>个体领取养老金人员</w:t>
            </w:r>
          </w:p>
        </w:tc>
        <w:tc>
          <w:tcPr>
            <w:tcW w:w="3119" w:type="dxa"/>
            <w:tcBorders>
              <w:top w:val="single" w:sz="4" w:space="0" w:color="auto"/>
              <w:left w:val="single" w:sz="4" w:space="0" w:color="auto"/>
              <w:right w:val="single" w:sz="4" w:space="0" w:color="auto"/>
            </w:tcBorders>
            <w:vAlign w:val="center"/>
          </w:tcPr>
          <w:p w:rsidR="00137EEA" w:rsidRPr="00C222C4" w:rsidRDefault="00137EEA" w:rsidP="00610DCD">
            <w:pPr>
              <w:spacing w:line="520" w:lineRule="exact"/>
              <w:ind w:firstLineChars="200" w:firstLine="480"/>
              <w:jc w:val="left"/>
              <w:rPr>
                <w:rFonts w:asciiTheme="minorEastAsia" w:eastAsiaTheme="minorEastAsia" w:hAnsiTheme="minorEastAsia"/>
                <w:color w:val="000000" w:themeColor="text1"/>
                <w:kern w:val="0"/>
                <w:sz w:val="24"/>
              </w:rPr>
            </w:pPr>
            <w:r w:rsidRPr="00C222C4">
              <w:rPr>
                <w:rFonts w:asciiTheme="minorEastAsia" w:eastAsiaTheme="minorEastAsia" w:hAnsiTheme="minorEastAsia" w:hint="eastAsia"/>
                <w:color w:val="000000" w:themeColor="text1"/>
                <w:kern w:val="0"/>
                <w:sz w:val="24"/>
              </w:rPr>
              <w:t>按2017年省平工资的4个月（5969.25元/月）计发为23877.00元。</w:t>
            </w:r>
          </w:p>
        </w:tc>
        <w:tc>
          <w:tcPr>
            <w:tcW w:w="4108" w:type="dxa"/>
            <w:tcBorders>
              <w:top w:val="single" w:sz="4" w:space="0" w:color="auto"/>
              <w:left w:val="single" w:sz="4" w:space="0" w:color="auto"/>
              <w:right w:val="single" w:sz="4" w:space="0" w:color="auto"/>
            </w:tcBorders>
            <w:vAlign w:val="center"/>
          </w:tcPr>
          <w:p w:rsidR="00137EEA" w:rsidRPr="00C222C4" w:rsidRDefault="00137EEA" w:rsidP="00610DCD">
            <w:pPr>
              <w:spacing w:line="520" w:lineRule="exact"/>
              <w:ind w:firstLineChars="200" w:firstLine="480"/>
              <w:jc w:val="left"/>
              <w:rPr>
                <w:rFonts w:asciiTheme="minorEastAsia" w:eastAsiaTheme="minorEastAsia" w:hAnsiTheme="minorEastAsia"/>
                <w:color w:val="000000" w:themeColor="text1"/>
                <w:kern w:val="0"/>
                <w:sz w:val="24"/>
              </w:rPr>
            </w:pPr>
            <w:r w:rsidRPr="00C222C4">
              <w:rPr>
                <w:rFonts w:asciiTheme="minorEastAsia" w:eastAsiaTheme="minorEastAsia" w:hAnsiTheme="minorEastAsia" w:hint="eastAsia"/>
                <w:color w:val="000000" w:themeColor="text1"/>
                <w:kern w:val="0"/>
                <w:sz w:val="24"/>
              </w:rPr>
              <w:t>按死亡时本人基本养老金的8个月计发。</w:t>
            </w:r>
          </w:p>
        </w:tc>
        <w:tc>
          <w:tcPr>
            <w:tcW w:w="3686" w:type="dxa"/>
            <w:tcBorders>
              <w:top w:val="single" w:sz="4" w:space="0" w:color="auto"/>
              <w:left w:val="single" w:sz="4" w:space="0" w:color="auto"/>
              <w:right w:val="single" w:sz="4" w:space="0" w:color="auto"/>
            </w:tcBorders>
            <w:vAlign w:val="center"/>
          </w:tcPr>
          <w:p w:rsidR="00137EEA" w:rsidRPr="00C222C4" w:rsidRDefault="00137EEA" w:rsidP="00610DCD">
            <w:pPr>
              <w:spacing w:line="520" w:lineRule="exact"/>
              <w:jc w:val="center"/>
              <w:rPr>
                <w:rFonts w:asciiTheme="minorEastAsia" w:eastAsiaTheme="minorEastAsia" w:hAnsiTheme="minorEastAsia"/>
                <w:color w:val="000000" w:themeColor="text1"/>
                <w:kern w:val="0"/>
                <w:sz w:val="24"/>
              </w:rPr>
            </w:pPr>
            <w:r w:rsidRPr="00C222C4">
              <w:rPr>
                <w:rFonts w:asciiTheme="minorEastAsia" w:eastAsiaTheme="minorEastAsia" w:hAnsiTheme="minorEastAsia" w:hint="eastAsia"/>
                <w:color w:val="000000" w:themeColor="text1"/>
                <w:kern w:val="0"/>
                <w:sz w:val="24"/>
              </w:rPr>
              <w:t>川劳社发〔2006〕17、18号</w:t>
            </w:r>
          </w:p>
        </w:tc>
      </w:tr>
    </w:tbl>
    <w:p w:rsidR="00137EEA" w:rsidRPr="00C222C4" w:rsidRDefault="00137EEA" w:rsidP="00137EEA">
      <w:pPr>
        <w:spacing w:line="520" w:lineRule="exact"/>
        <w:rPr>
          <w:rFonts w:asciiTheme="minorEastAsia" w:eastAsiaTheme="minorEastAsia" w:hAnsiTheme="minorEastAsia"/>
          <w:color w:val="000000" w:themeColor="text1"/>
          <w:kern w:val="0"/>
          <w:sz w:val="24"/>
        </w:rPr>
        <w:sectPr w:rsidR="00137EEA" w:rsidRPr="00C222C4" w:rsidSect="00C32538">
          <w:footerReference w:type="even" r:id="rId4"/>
          <w:footerReference w:type="default" r:id="rId5"/>
          <w:pgSz w:w="16839" w:h="11907" w:orient="landscape" w:code="9"/>
          <w:pgMar w:top="1588" w:right="1588" w:bottom="1588" w:left="1588" w:header="851" w:footer="964" w:gutter="0"/>
          <w:cols w:space="0"/>
          <w:docGrid w:type="lines" w:linePitch="323"/>
        </w:sectPr>
      </w:pPr>
      <w:r>
        <w:rPr>
          <w:rFonts w:asciiTheme="minorEastAsia" w:eastAsiaTheme="minorEastAsia" w:hAnsiTheme="minorEastAsia" w:hint="eastAsia"/>
          <w:color w:val="000000" w:themeColor="text1"/>
          <w:kern w:val="0"/>
          <w:sz w:val="24"/>
        </w:rPr>
        <w:t>注：具体计发办法以相关文件规定为准。</w:t>
      </w:r>
    </w:p>
    <w:p w:rsidR="006A3850" w:rsidRDefault="00137EEA"/>
    <w:sectPr w:rsidR="006A3850" w:rsidSect="009B26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82" w:rsidRDefault="00137EEA">
    <w:pPr>
      <w:pStyle w:val="a3"/>
    </w:pPr>
    <w:r w:rsidRPr="00110482">
      <w:rPr>
        <w:rFonts w:ascii="Microsoft New Tai Lue" w:hAnsi="Microsoft New Tai Lue" w:cs="Microsoft New Tai Lue"/>
        <w:sz w:val="24"/>
        <w:szCs w:val="24"/>
      </w:rPr>
      <w:t>—</w:t>
    </w:r>
    <w:sdt>
      <w:sdtPr>
        <w:rPr>
          <w:rFonts w:ascii="Microsoft New Tai Lue" w:hAnsi="Microsoft New Tai Lue" w:cs="Microsoft New Tai Lue"/>
          <w:sz w:val="24"/>
          <w:szCs w:val="24"/>
        </w:rPr>
        <w:id w:val="21396624"/>
        <w:docPartObj>
          <w:docPartGallery w:val="Page Numbers (Bottom of Page)"/>
          <w:docPartUnique/>
        </w:docPartObj>
      </w:sdtPr>
      <w:sdtEndPr>
        <w:rPr>
          <w:rFonts w:ascii="Times New Roman" w:hAnsi="Times New Roman" w:cs="Times New Roman"/>
          <w:sz w:val="18"/>
          <w:szCs w:val="18"/>
        </w:rPr>
      </w:sdtEndPr>
      <w:sdtContent>
        <w:r w:rsidRPr="00110482">
          <w:rPr>
            <w:rFonts w:ascii="Microsoft New Tai Lue" w:hAnsi="Microsoft New Tai Lue" w:cs="Microsoft New Tai Lue"/>
            <w:sz w:val="24"/>
            <w:szCs w:val="24"/>
          </w:rPr>
          <w:fldChar w:fldCharType="begin"/>
        </w:r>
        <w:r w:rsidRPr="00110482">
          <w:rPr>
            <w:rFonts w:ascii="Microsoft New Tai Lue" w:hAnsi="Microsoft New Tai Lue" w:cs="Microsoft New Tai Lue"/>
            <w:sz w:val="24"/>
            <w:szCs w:val="24"/>
          </w:rPr>
          <w:instrText xml:space="preserve"> PAGE   \* MERGEFORMAT </w:instrText>
        </w:r>
        <w:r w:rsidRPr="00110482">
          <w:rPr>
            <w:rFonts w:ascii="Microsoft New Tai Lue" w:hAnsi="Microsoft New Tai Lue" w:cs="Microsoft New Tai Lue"/>
            <w:sz w:val="24"/>
            <w:szCs w:val="24"/>
          </w:rPr>
          <w:fldChar w:fldCharType="separate"/>
        </w:r>
        <w:r w:rsidRPr="00753091">
          <w:rPr>
            <w:rFonts w:ascii="Microsoft New Tai Lue" w:hAnsi="Microsoft New Tai Lue" w:cs="Microsoft New Tai Lue"/>
            <w:noProof/>
            <w:sz w:val="24"/>
            <w:szCs w:val="24"/>
            <w:lang w:val="zh-CN"/>
          </w:rPr>
          <w:t>6</w:t>
        </w:r>
        <w:r w:rsidRPr="00110482">
          <w:rPr>
            <w:rFonts w:ascii="Microsoft New Tai Lue" w:hAnsi="Microsoft New Tai Lue" w:cs="Microsoft New Tai Lue"/>
            <w:sz w:val="24"/>
            <w:szCs w:val="24"/>
          </w:rPr>
          <w:fldChar w:fldCharType="end"/>
        </w:r>
        <w:r w:rsidRPr="00110482">
          <w:rPr>
            <w:rFonts w:ascii="Microsoft New Tai Lue" w:hAnsi="Microsoft New Tai Lue" w:cs="Microsoft New Tai Lue"/>
            <w:sz w:val="24"/>
            <w:szCs w:val="24"/>
          </w:rPr>
          <w:t>—</w:t>
        </w:r>
      </w:sdtContent>
    </w:sdt>
  </w:p>
  <w:p w:rsidR="004311B9" w:rsidRPr="00110482" w:rsidRDefault="00137EEA" w:rsidP="0011048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6625"/>
      <w:docPartObj>
        <w:docPartGallery w:val="Page Numbers (Bottom of Page)"/>
        <w:docPartUnique/>
      </w:docPartObj>
    </w:sdtPr>
    <w:sdtEndPr/>
    <w:sdtContent>
      <w:p w:rsidR="00110482" w:rsidRDefault="00137EEA" w:rsidP="00110482">
        <w:pPr>
          <w:pStyle w:val="a3"/>
          <w:jc w:val="right"/>
        </w:pPr>
        <w:r w:rsidRPr="00110482">
          <w:rPr>
            <w:rFonts w:ascii="Microsoft New Tai Lue" w:hAnsi="Microsoft New Tai Lue" w:cs="Microsoft New Tai Lue"/>
            <w:sz w:val="24"/>
            <w:szCs w:val="24"/>
          </w:rPr>
          <w:t>—</w:t>
        </w:r>
        <w:r w:rsidRPr="00110482">
          <w:rPr>
            <w:rFonts w:ascii="Microsoft New Tai Lue" w:hAnsi="Microsoft New Tai Lue" w:cs="Microsoft New Tai Lue"/>
            <w:sz w:val="24"/>
            <w:szCs w:val="24"/>
          </w:rPr>
          <w:fldChar w:fldCharType="begin"/>
        </w:r>
        <w:r w:rsidRPr="00110482">
          <w:rPr>
            <w:rFonts w:ascii="Microsoft New Tai Lue" w:hAnsi="Microsoft New Tai Lue" w:cs="Microsoft New Tai Lue"/>
            <w:sz w:val="24"/>
            <w:szCs w:val="24"/>
          </w:rPr>
          <w:instrText xml:space="preserve"> PAGE   \* MERGEFORMAT </w:instrText>
        </w:r>
        <w:r w:rsidRPr="00110482">
          <w:rPr>
            <w:rFonts w:ascii="Microsoft New Tai Lue" w:hAnsi="Microsoft New Tai Lue" w:cs="Microsoft New Tai Lue"/>
            <w:sz w:val="24"/>
            <w:szCs w:val="24"/>
          </w:rPr>
          <w:fldChar w:fldCharType="separate"/>
        </w:r>
        <w:r w:rsidRPr="00137EEA">
          <w:rPr>
            <w:rFonts w:ascii="Microsoft New Tai Lue" w:hAnsi="Microsoft New Tai Lue" w:cs="Microsoft New Tai Lue"/>
            <w:noProof/>
            <w:sz w:val="24"/>
            <w:szCs w:val="24"/>
            <w:lang w:val="zh-CN"/>
          </w:rPr>
          <w:t>1</w:t>
        </w:r>
        <w:r w:rsidRPr="00110482">
          <w:rPr>
            <w:rFonts w:ascii="Microsoft New Tai Lue" w:hAnsi="Microsoft New Tai Lue" w:cs="Microsoft New Tai Lue"/>
            <w:sz w:val="24"/>
            <w:szCs w:val="24"/>
          </w:rPr>
          <w:fldChar w:fldCharType="end"/>
        </w:r>
        <w:r w:rsidRPr="00110482">
          <w:rPr>
            <w:rFonts w:ascii="Microsoft New Tai Lue" w:hAnsi="Microsoft New Tai Lue" w:cs="Microsoft New Tai Lue"/>
            <w:sz w:val="24"/>
            <w:szCs w:val="24"/>
          </w:rPr>
          <w:t>—</w:t>
        </w:r>
      </w:p>
    </w:sdtContent>
  </w:sdt>
  <w:p w:rsidR="004311B9" w:rsidRDefault="00137EEA">
    <w:pPr>
      <w:pStyle w:val="a3"/>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7EEA"/>
    <w:rsid w:val="00137EEA"/>
    <w:rsid w:val="009B2650"/>
    <w:rsid w:val="00B8633E"/>
    <w:rsid w:val="00BE20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37EEA"/>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137EE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Words>
  <Characters>303</Characters>
  <Application>Microsoft Office Word</Application>
  <DocSecurity>0</DocSecurity>
  <Lines>2</Lines>
  <Paragraphs>1</Paragraphs>
  <ScaleCrop>false</ScaleCrop>
  <Company>china</Company>
  <LinksUpToDate>false</LinksUpToDate>
  <CharactersWithSpaces>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系统管理:管理员</dc:creator>
  <cp:lastModifiedBy>系统管理:管理员</cp:lastModifiedBy>
  <cp:revision>1</cp:revision>
  <dcterms:created xsi:type="dcterms:W3CDTF">2018-06-20T08:08:00Z</dcterms:created>
  <dcterms:modified xsi:type="dcterms:W3CDTF">2018-06-20T08:09:00Z</dcterms:modified>
</cp:coreProperties>
</file>